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E7C6E"/>
          <w:sz w:val="18"/>
        </w:rPr>
        <w:t>NDISCOMPLIANT  ·  SIL RESCUE KIT</w:t>
      </w:r>
    </w:p>
    <w:p>
      <w:r>
        <w:rPr>
          <w:b/>
          <w:color w:val="1A1A1A"/>
          <w:sz w:val="44"/>
        </w:rPr>
        <w:t>12-Month Internal Audit Schedule</w:t>
      </w:r>
    </w:p>
    <w:p>
      <w:r>
        <w:rPr>
          <w:i/>
          <w:color w:val="6A6A6A"/>
          <w:sz w:val="22"/>
        </w:rPr>
        <w:t>A rolling monthly cycle that keeps you permanently audit-ready</w:t>
      </w:r>
    </w:p>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sz w:val="17"/>
              </w:rPr>
              <w:t>Document</w:t>
            </w:r>
          </w:p>
        </w:tc>
        <w:tc>
          <w:tcPr>
            <w:tcW w:type="dxa" w:w="2160"/>
          </w:tcPr>
          <w:p>
            <w:r>
              <w:rPr>
                <w:b/>
                <w:sz w:val="17"/>
              </w:rPr>
              <w:t>Version</w:t>
            </w:r>
          </w:p>
        </w:tc>
        <w:tc>
          <w:tcPr>
            <w:tcW w:type="dxa" w:w="2160"/>
          </w:tcPr>
          <w:p>
            <w:r>
              <w:rPr>
                <w:b/>
                <w:sz w:val="17"/>
              </w:rPr>
              <w:t>Effective</w:t>
            </w:r>
          </w:p>
        </w:tc>
        <w:tc>
          <w:tcPr>
            <w:tcW w:type="dxa" w:w="2160"/>
          </w:tcPr>
          <w:p>
            <w:r>
              <w:rPr>
                <w:b/>
                <w:sz w:val="17"/>
              </w:rPr>
              <w:t>NDIS Practice Standard</w:t>
            </w:r>
          </w:p>
        </w:tc>
      </w:tr>
      <w:tr>
        <w:tc>
          <w:tcPr>
            <w:tcW w:type="dxa" w:w="2160"/>
          </w:tcPr>
          <w:p>
            <w:r>
              <w:rPr>
                <w:sz w:val="17"/>
              </w:rPr>
              <w:t>BONUS-02</w:t>
            </w:r>
          </w:p>
        </w:tc>
        <w:tc>
          <w:tcPr>
            <w:tcW w:type="dxa" w:w="2160"/>
          </w:tcPr>
          <w:p>
            <w:r>
              <w:rPr>
                <w:sz w:val="17"/>
              </w:rPr>
              <w:t>1.0 (Edition 26.06)</w:t>
            </w:r>
          </w:p>
        </w:tc>
        <w:tc>
          <w:tcPr>
            <w:tcW w:type="dxa" w:w="2160"/>
          </w:tcPr>
          <w:p>
            <w:r>
              <w:rPr>
                <w:sz w:val="17"/>
              </w:rPr>
              <w:t>On adoption</w:t>
            </w:r>
          </w:p>
        </w:tc>
        <w:tc>
          <w:tcPr>
            <w:tcW w:type="dxa" w:w="2160"/>
          </w:tcPr>
          <w:p>
            <w:r>
              <w:rPr>
                <w:sz w:val="17"/>
              </w:rPr>
              <w:t>Core Outcome — Quality Management &amp; Continuous Improvement</w:t>
            </w:r>
          </w:p>
        </w:tc>
      </w:tr>
    </w:tbl>
    <w:p>
      <w:r>
        <w:rPr>
          <w:i/>
          <w:color w:val="6A6A6A"/>
          <w:sz w:val="17"/>
        </w:rPr>
        <w:t>How to use: replace every [HIGHLIGHTED] field with your organisation's details, then save a copy to your evidence folder. Review at least annually or when the rules change. Lifetime updates included.</w:t>
      </w:r>
    </w:p>
    <w:p/>
    <w:p>
      <w:r>
        <w:rPr>
          <w:b/>
          <w:color w:val="0E7C6E"/>
          <w:sz w:val="26"/>
        </w:rPr>
        <w:t>How to use this schedule</w:t>
      </w:r>
    </w:p>
    <w:p>
      <w:r>
        <w:rPr>
          <w:color w:val="1A1A1A"/>
          <w:sz w:val="21"/>
        </w:rPr>
        <w:t>Staying compliant is a habit, not an event. Each month, review the documents and records listed below, fix anything that has drifted, and sign off. Twelve light monthly checks replace one terrifying annual scramble. Assign an owner ([NOMINATED MANAGER]) and keep the signed table as evidence of your Continuous Improvement system.</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sz w:val="17"/>
              </w:rPr>
              <w:t>Month</w:t>
            </w:r>
          </w:p>
        </w:tc>
        <w:tc>
          <w:tcPr>
            <w:tcW w:type="dxa" w:w="2160"/>
          </w:tcPr>
          <w:p>
            <w:r>
              <w:rPr>
                <w:b/>
                <w:sz w:val="17"/>
              </w:rPr>
              <w:t>Focus area</w:t>
            </w:r>
          </w:p>
        </w:tc>
        <w:tc>
          <w:tcPr>
            <w:tcW w:type="dxa" w:w="2160"/>
          </w:tcPr>
          <w:p>
            <w:r>
              <w:rPr>
                <w:b/>
                <w:sz w:val="17"/>
              </w:rPr>
              <w:t>Check these records / documents</w:t>
            </w:r>
          </w:p>
        </w:tc>
        <w:tc>
          <w:tcPr>
            <w:tcW w:type="dxa" w:w="2160"/>
          </w:tcPr>
          <w:p>
            <w:r>
              <w:rPr>
                <w:b/>
                <w:sz w:val="17"/>
              </w:rPr>
              <w:t>Signed off (name + date)</w:t>
            </w:r>
          </w:p>
        </w:tc>
      </w:tr>
      <w:tr>
        <w:tc>
          <w:tcPr>
            <w:tcW w:type="dxa" w:w="2160"/>
          </w:tcPr>
          <w:p>
            <w:r>
              <w:rPr>
                <w:sz w:val="18"/>
              </w:rPr>
              <w:t>Jan</w:t>
            </w:r>
          </w:p>
        </w:tc>
        <w:tc>
          <w:tcPr>
            <w:tcW w:type="dxa" w:w="2160"/>
          </w:tcPr>
          <w:p>
            <w:r>
              <w:rPr>
                <w:sz w:val="18"/>
              </w:rPr>
              <w:t>Incidents &amp; risk</w:t>
            </w:r>
          </w:p>
        </w:tc>
        <w:tc>
          <w:tcPr>
            <w:tcW w:type="dxa" w:w="2160"/>
          </w:tcPr>
          <w:p>
            <w:r>
              <w:rPr>
                <w:sz w:val="18"/>
              </w:rPr>
              <w:t>Incident register + last 3 reports closed; risk assessments current; restrictive-practice register</w:t>
            </w:r>
          </w:p>
        </w:tc>
        <w:tc>
          <w:tcPr>
            <w:tcW w:type="dxa" w:w="2160"/>
          </w:tcPr>
          <w:p/>
        </w:tc>
      </w:tr>
      <w:tr>
        <w:tc>
          <w:tcPr>
            <w:tcW w:type="dxa" w:w="2160"/>
          </w:tcPr>
          <w:p>
            <w:r>
              <w:rPr>
                <w:sz w:val="18"/>
              </w:rPr>
              <w:t>Feb</w:t>
            </w:r>
          </w:p>
        </w:tc>
        <w:tc>
          <w:tcPr>
            <w:tcW w:type="dxa" w:w="2160"/>
          </w:tcPr>
          <w:p>
            <w:r>
              <w:rPr>
                <w:sz w:val="18"/>
              </w:rPr>
              <w:t>Medication</w:t>
            </w:r>
          </w:p>
        </w:tc>
        <w:tc>
          <w:tcPr>
            <w:tcW w:type="dxa" w:w="2160"/>
          </w:tcPr>
          <w:p>
            <w:r>
              <w:rPr>
                <w:sz w:val="18"/>
              </w:rPr>
              <w:t>MAR charts complete &amp; signed; medication policy followed; any errors logged &amp; reviewed</w:t>
            </w:r>
          </w:p>
        </w:tc>
        <w:tc>
          <w:tcPr>
            <w:tcW w:type="dxa" w:w="2160"/>
          </w:tcPr>
          <w:p/>
        </w:tc>
      </w:tr>
      <w:tr>
        <w:tc>
          <w:tcPr>
            <w:tcW w:type="dxa" w:w="2160"/>
          </w:tcPr>
          <w:p>
            <w:r>
              <w:rPr>
                <w:sz w:val="18"/>
              </w:rPr>
              <w:t>Mar</w:t>
            </w:r>
          </w:p>
        </w:tc>
        <w:tc>
          <w:tcPr>
            <w:tcW w:type="dxa" w:w="2160"/>
          </w:tcPr>
          <w:p>
            <w:r>
              <w:rPr>
                <w:sz w:val="18"/>
              </w:rPr>
              <w:t>Worker screening &amp; training</w:t>
            </w:r>
          </w:p>
        </w:tc>
        <w:tc>
          <w:tcPr>
            <w:tcW w:type="dxa" w:w="2160"/>
          </w:tcPr>
          <w:p>
            <w:r>
              <w:rPr>
                <w:sz w:val="18"/>
              </w:rPr>
              <w:t>Screening clearances valid; training matrix current; first aid/CPR in date</w:t>
            </w:r>
          </w:p>
        </w:tc>
        <w:tc>
          <w:tcPr>
            <w:tcW w:type="dxa" w:w="2160"/>
          </w:tcPr>
          <w:p/>
        </w:tc>
      </w:tr>
      <w:tr>
        <w:tc>
          <w:tcPr>
            <w:tcW w:type="dxa" w:w="2160"/>
          </w:tcPr>
          <w:p>
            <w:r>
              <w:rPr>
                <w:sz w:val="18"/>
              </w:rPr>
              <w:t>Apr</w:t>
            </w:r>
          </w:p>
        </w:tc>
        <w:tc>
          <w:tcPr>
            <w:tcW w:type="dxa" w:w="2160"/>
          </w:tcPr>
          <w:p>
            <w:r>
              <w:rPr>
                <w:sz w:val="18"/>
              </w:rPr>
              <w:t>Participant records</w:t>
            </w:r>
          </w:p>
        </w:tc>
        <w:tc>
          <w:tcPr>
            <w:tcW w:type="dxa" w:w="2160"/>
          </w:tcPr>
          <w:p>
            <w:r>
              <w:rPr>
                <w:sz w:val="18"/>
              </w:rPr>
              <w:t>Support plans reflect current goals; consent current; progress notes goal-linked</w:t>
            </w:r>
          </w:p>
        </w:tc>
        <w:tc>
          <w:tcPr>
            <w:tcW w:type="dxa" w:w="2160"/>
          </w:tcPr>
          <w:p/>
        </w:tc>
      </w:tr>
      <w:tr>
        <w:tc>
          <w:tcPr>
            <w:tcW w:type="dxa" w:w="2160"/>
          </w:tcPr>
          <w:p>
            <w:r>
              <w:rPr>
                <w:sz w:val="18"/>
              </w:rPr>
              <w:t>May</w:t>
            </w:r>
          </w:p>
        </w:tc>
        <w:tc>
          <w:tcPr>
            <w:tcW w:type="dxa" w:w="2160"/>
          </w:tcPr>
          <w:p>
            <w:r>
              <w:rPr>
                <w:sz w:val="18"/>
              </w:rPr>
              <w:t>Complaints &amp; feedback</w:t>
            </w:r>
          </w:p>
        </w:tc>
        <w:tc>
          <w:tcPr>
            <w:tcW w:type="dxa" w:w="2160"/>
          </w:tcPr>
          <w:p>
            <w:r>
              <w:rPr>
                <w:sz w:val="18"/>
              </w:rPr>
              <w:t>Complaints register; feedback acted on; advocacy info available</w:t>
            </w:r>
          </w:p>
        </w:tc>
        <w:tc>
          <w:tcPr>
            <w:tcW w:type="dxa" w:w="2160"/>
          </w:tcPr>
          <w:p/>
        </w:tc>
      </w:tr>
      <w:tr>
        <w:tc>
          <w:tcPr>
            <w:tcW w:type="dxa" w:w="2160"/>
          </w:tcPr>
          <w:p>
            <w:r>
              <w:rPr>
                <w:sz w:val="18"/>
              </w:rPr>
              <w:t>Jun</w:t>
            </w:r>
          </w:p>
        </w:tc>
        <w:tc>
          <w:tcPr>
            <w:tcW w:type="dxa" w:w="2160"/>
          </w:tcPr>
          <w:p>
            <w:r>
              <w:rPr>
                <w:sz w:val="18"/>
              </w:rPr>
              <w:t>Governance &amp; finance</w:t>
            </w:r>
          </w:p>
        </w:tc>
        <w:tc>
          <w:tcPr>
            <w:tcW w:type="dxa" w:w="2160"/>
          </w:tcPr>
          <w:p>
            <w:r>
              <w:rPr>
                <w:sz w:val="18"/>
              </w:rPr>
              <w:t>Org chart, key personnel, financial controls, conflict-of-interest records</w:t>
            </w:r>
          </w:p>
        </w:tc>
        <w:tc>
          <w:tcPr>
            <w:tcW w:type="dxa" w:w="2160"/>
          </w:tcPr>
          <w:p/>
        </w:tc>
      </w:tr>
      <w:tr>
        <w:tc>
          <w:tcPr>
            <w:tcW w:type="dxa" w:w="2160"/>
          </w:tcPr>
          <w:p>
            <w:r>
              <w:rPr>
                <w:sz w:val="18"/>
              </w:rPr>
              <w:t>Jul</w:t>
            </w:r>
          </w:p>
        </w:tc>
        <w:tc>
          <w:tcPr>
            <w:tcW w:type="dxa" w:w="2160"/>
          </w:tcPr>
          <w:p>
            <w:r>
              <w:rPr>
                <w:sz w:val="18"/>
              </w:rPr>
              <w:t>WHS &amp; environment</w:t>
            </w:r>
          </w:p>
        </w:tc>
        <w:tc>
          <w:tcPr>
            <w:tcW w:type="dxa" w:w="2160"/>
          </w:tcPr>
          <w:p>
            <w:r>
              <w:rPr>
                <w:sz w:val="18"/>
              </w:rPr>
              <w:t>Safety inspections; emergency/evacuation plans tested; infection control</w:t>
            </w:r>
          </w:p>
        </w:tc>
        <w:tc>
          <w:tcPr>
            <w:tcW w:type="dxa" w:w="2160"/>
          </w:tcPr>
          <w:p/>
        </w:tc>
      </w:tr>
      <w:tr>
        <w:tc>
          <w:tcPr>
            <w:tcW w:type="dxa" w:w="2160"/>
          </w:tcPr>
          <w:p>
            <w:r>
              <w:rPr>
                <w:sz w:val="18"/>
              </w:rPr>
              <w:t>Aug</w:t>
            </w:r>
          </w:p>
        </w:tc>
        <w:tc>
          <w:tcPr>
            <w:tcW w:type="dxa" w:w="2160"/>
          </w:tcPr>
          <w:p>
            <w:r>
              <w:rPr>
                <w:sz w:val="18"/>
              </w:rPr>
              <w:t>Service delivery</w:t>
            </w:r>
          </w:p>
        </w:tc>
        <w:tc>
          <w:tcPr>
            <w:tcW w:type="dxa" w:w="2160"/>
          </w:tcPr>
          <w:p>
            <w:r>
              <w:rPr>
                <w:sz w:val="18"/>
              </w:rPr>
              <w:t>Service agreements signed &amp; current; shift notes; handover quality</w:t>
            </w:r>
          </w:p>
        </w:tc>
        <w:tc>
          <w:tcPr>
            <w:tcW w:type="dxa" w:w="2160"/>
          </w:tcPr>
          <w:p/>
        </w:tc>
      </w:tr>
      <w:tr>
        <w:tc>
          <w:tcPr>
            <w:tcW w:type="dxa" w:w="2160"/>
          </w:tcPr>
          <w:p>
            <w:r>
              <w:rPr>
                <w:sz w:val="18"/>
              </w:rPr>
              <w:t>Sep</w:t>
            </w:r>
          </w:p>
        </w:tc>
        <w:tc>
          <w:tcPr>
            <w:tcW w:type="dxa" w:w="2160"/>
          </w:tcPr>
          <w:p>
            <w:r>
              <w:rPr>
                <w:sz w:val="18"/>
              </w:rPr>
              <w:t>Privacy &amp; information</w:t>
            </w:r>
          </w:p>
        </w:tc>
        <w:tc>
          <w:tcPr>
            <w:tcW w:type="dxa" w:w="2160"/>
          </w:tcPr>
          <w:p>
            <w:r>
              <w:rPr>
                <w:sz w:val="18"/>
              </w:rPr>
              <w:t>Privacy practices; data-breach plan; records access &amp; storage</w:t>
            </w:r>
          </w:p>
        </w:tc>
        <w:tc>
          <w:tcPr>
            <w:tcW w:type="dxa" w:w="2160"/>
          </w:tcPr>
          <w:p/>
        </w:tc>
      </w:tr>
      <w:tr>
        <w:tc>
          <w:tcPr>
            <w:tcW w:type="dxa" w:w="2160"/>
          </w:tcPr>
          <w:p>
            <w:r>
              <w:rPr>
                <w:sz w:val="18"/>
              </w:rPr>
              <w:t>Oct</w:t>
            </w:r>
          </w:p>
        </w:tc>
        <w:tc>
          <w:tcPr>
            <w:tcW w:type="dxa" w:w="2160"/>
          </w:tcPr>
          <w:p>
            <w:r>
              <w:rPr>
                <w:sz w:val="18"/>
              </w:rPr>
              <w:t>Restrictive practices</w:t>
            </w:r>
          </w:p>
        </w:tc>
        <w:tc>
          <w:tcPr>
            <w:tcW w:type="dxa" w:w="2160"/>
          </w:tcPr>
          <w:p>
            <w:r>
              <w:rPr>
                <w:sz w:val="18"/>
              </w:rPr>
              <w:t>URP identification done; any practices authorised &amp; reported</w:t>
            </w:r>
          </w:p>
        </w:tc>
        <w:tc>
          <w:tcPr>
            <w:tcW w:type="dxa" w:w="2160"/>
          </w:tcPr>
          <w:p/>
        </w:tc>
      </w:tr>
      <w:tr>
        <w:tc>
          <w:tcPr>
            <w:tcW w:type="dxa" w:w="2160"/>
          </w:tcPr>
          <w:p>
            <w:r>
              <w:rPr>
                <w:sz w:val="18"/>
              </w:rPr>
              <w:t>Nov</w:t>
            </w:r>
          </w:p>
        </w:tc>
        <w:tc>
          <w:tcPr>
            <w:tcW w:type="dxa" w:w="2160"/>
          </w:tcPr>
          <w:p>
            <w:r>
              <w:rPr>
                <w:sz w:val="18"/>
              </w:rPr>
              <w:t>Human resources</w:t>
            </w:r>
          </w:p>
        </w:tc>
        <w:tc>
          <w:tcPr>
            <w:tcW w:type="dxa" w:w="2160"/>
          </w:tcPr>
          <w:p>
            <w:r>
              <w:rPr>
                <w:sz w:val="18"/>
              </w:rPr>
              <w:t>Supervision records; performance reviews; code-of-conduct acknowledgements</w:t>
            </w:r>
          </w:p>
        </w:tc>
        <w:tc>
          <w:tcPr>
            <w:tcW w:type="dxa" w:w="2160"/>
          </w:tcPr>
          <w:p/>
        </w:tc>
      </w:tr>
      <w:tr>
        <w:tc>
          <w:tcPr>
            <w:tcW w:type="dxa" w:w="2160"/>
          </w:tcPr>
          <w:p>
            <w:r>
              <w:rPr>
                <w:sz w:val="18"/>
              </w:rPr>
              <w:t>Dec</w:t>
            </w:r>
          </w:p>
        </w:tc>
        <w:tc>
          <w:tcPr>
            <w:tcW w:type="dxa" w:w="2160"/>
          </w:tcPr>
          <w:p>
            <w:r>
              <w:rPr>
                <w:sz w:val="18"/>
              </w:rPr>
              <w:t>Full mock audit</w:t>
            </w:r>
          </w:p>
        </w:tc>
        <w:tc>
          <w:tcPr>
            <w:tcW w:type="dxa" w:w="2160"/>
          </w:tcPr>
          <w:p>
            <w:r>
              <w:rPr>
                <w:sz w:val="18"/>
              </w:rPr>
              <w:t>Run the Audit Evidence Checklist end-to-end; close all gaps before the new year</w:t>
            </w:r>
          </w:p>
        </w:tc>
        <w:tc>
          <w:tcPr>
            <w:tcW w:type="dxa" w:w="2160"/>
          </w:tcPr>
          <w:p/>
        </w:tc>
      </w:tr>
    </w:tbl>
    <w:p/>
    <w:p>
      <w:r>
        <w:rPr>
          <w:i/>
          <w:color w:val="6A6A6A"/>
          <w:sz w:val="16"/>
        </w:rPr>
        <w:t>This document supports your obligations under the NDIS Practice Standards; it is a customisable template, not legal advice. Seek advice for your specific circumstances. © NDISCompliant — licensed to the purchaser.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