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E7C6E"/>
          <w:sz w:val="18"/>
        </w:rPr>
        <w:t>NDISCOMPLIANT  ·  SIL RESCUE KIT</w:t>
      </w:r>
    </w:p>
    <w:p>
      <w:r>
        <w:rPr>
          <w:b/>
          <w:color w:val="1A1A1A"/>
          <w:sz w:val="44"/>
        </w:rPr>
        <w:t>Participant Intake &amp; Compatibility Red-Flag Checklist</w:t>
      </w:r>
    </w:p>
    <w:p>
      <w:r>
        <w:rPr>
          <w:i/>
          <w:color w:val="6A6A6A"/>
          <w:sz w:val="22"/>
        </w:rPr>
        <w:t>Assess suitability and housemate compatibility BEFORE a SIL move-in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7"/>
              </w:rPr>
              <w:t>Document</w:t>
            </w:r>
          </w:p>
        </w:tc>
        <w:tc>
          <w:tcPr>
            <w:tcW w:type="dxa" w:w="2160"/>
          </w:tcPr>
          <w:p>
            <w:r>
              <w:rPr>
                <w:b/>
                <w:sz w:val="17"/>
              </w:rPr>
              <w:t>Version</w:t>
            </w:r>
          </w:p>
        </w:tc>
        <w:tc>
          <w:tcPr>
            <w:tcW w:type="dxa" w:w="2160"/>
          </w:tcPr>
          <w:p>
            <w:r>
              <w:rPr>
                <w:b/>
                <w:sz w:val="17"/>
              </w:rPr>
              <w:t>Effective</w:t>
            </w:r>
          </w:p>
        </w:tc>
        <w:tc>
          <w:tcPr>
            <w:tcW w:type="dxa" w:w="2160"/>
          </w:tcPr>
          <w:p>
            <w:r>
              <w:rPr>
                <w:b/>
                <w:sz w:val="17"/>
              </w:rPr>
              <w:t>NDIS Practice Standard</w:t>
            </w:r>
          </w:p>
        </w:tc>
      </w:tr>
      <w:tr>
        <w:tc>
          <w:tcPr>
            <w:tcW w:type="dxa" w:w="2160"/>
          </w:tcPr>
          <w:p>
            <w:r>
              <w:rPr>
                <w:sz w:val="17"/>
              </w:rPr>
              <w:t>BONUS-03</w:t>
            </w:r>
          </w:p>
        </w:tc>
        <w:tc>
          <w:tcPr>
            <w:tcW w:type="dxa" w:w="2160"/>
          </w:tcPr>
          <w:p>
            <w:r>
              <w:rPr>
                <w:sz w:val="17"/>
              </w:rPr>
              <w:t>1.0 (Edition 26.06)</w:t>
            </w:r>
          </w:p>
        </w:tc>
        <w:tc>
          <w:tcPr>
            <w:tcW w:type="dxa" w:w="2160"/>
          </w:tcPr>
          <w:p>
            <w:r>
              <w:rPr>
                <w:sz w:val="17"/>
              </w:rPr>
              <w:t>On adoption</w:t>
            </w:r>
          </w:p>
        </w:tc>
        <w:tc>
          <w:tcPr>
            <w:tcW w:type="dxa" w:w="2160"/>
          </w:tcPr>
          <w:p>
            <w:r>
              <w:rPr>
                <w:sz w:val="17"/>
              </w:rPr>
              <w:t>Core Outcome — Access to Supports / Person-Centred Support</w:t>
            </w:r>
          </w:p>
        </w:tc>
      </w:tr>
    </w:tbl>
    <w:p>
      <w:r>
        <w:rPr>
          <w:i/>
          <w:color w:val="6A6A6A"/>
          <w:sz w:val="17"/>
        </w:rPr>
        <w:t>How to use: replace every [HIGHLIGHTED] field with your organisation's details, then save a copy to your evidence folder. Review at least annually or when the rules change. Lifetime updates included.</w:t>
      </w:r>
    </w:p>
    <w:p/>
    <w:p>
      <w:r>
        <w:rPr>
          <w:b/>
          <w:color w:val="0E7C6E"/>
          <w:sz w:val="26"/>
        </w:rPr>
        <w:t>Why this matters</w:t>
      </w:r>
    </w:p>
    <w:p>
      <w:r>
        <w:rPr>
          <w:color w:val="1A1A1A"/>
          <w:sz w:val="21"/>
        </w:rPr>
        <w:t>The most expensive and risky SIL mistakes happen at intake. A poor housemate match or an underestimated support need leads to incidents, complaints, staff burnout and funding shortfalls. Work through every item before you commit to a placement. Score each: ✓ OK / ⚠ Needs plan / ✗ Red flag (decline or escalate).</w:t>
      </w:r>
    </w:p>
    <w:p>
      <w:r>
        <w:rPr>
          <w:b/>
          <w:color w:val="0E7C6E"/>
          <w:sz w:val="26"/>
        </w:rPr>
        <w:t>A. Support needs &amp; funding</w:t>
      </w:r>
    </w:p>
    <w:p>
      <w:pPr>
        <w:pStyle w:val="ListBullet"/>
      </w:pPr>
      <w:r>
        <w:rPr>
          <w:sz w:val="21"/>
        </w:rPr>
        <w:t>Does the participant's NDIS plan funding realistically cover the support ratio they need? (see Roster of Care Guide — Bonus-05)</w:t>
      </w:r>
    </w:p>
    <w:p>
      <w:pPr>
        <w:pStyle w:val="ListBullet"/>
      </w:pPr>
      <w:r>
        <w:rPr>
          <w:sz w:val="21"/>
        </w:rPr>
        <w:t>Are behaviour support needs documented, and is a current Behaviour Support Plan in place if required?</w:t>
      </w:r>
    </w:p>
    <w:p>
      <w:pPr>
        <w:pStyle w:val="ListBullet"/>
      </w:pPr>
      <w:r>
        <w:rPr>
          <w:sz w:val="21"/>
        </w:rPr>
        <w:t>Is medication complexity within your team's competence (PRN, high-risk meds, PEG, etc.)?</w:t>
      </w:r>
    </w:p>
    <w:p>
      <w:pPr>
        <w:pStyle w:val="ListBullet"/>
      </w:pPr>
      <w:r>
        <w:rPr>
          <w:sz w:val="21"/>
        </w:rPr>
        <w:t>Are there clinical needs (epilepsy, diabetes, mealtime/swallowing) requiring specific training or plans?</w:t>
      </w:r>
    </w:p>
    <w:p>
      <w:r>
        <w:rPr>
          <w:b/>
          <w:color w:val="0E7C6E"/>
          <w:sz w:val="26"/>
        </w:rPr>
        <w:t>B. Housemate compatibility (for shared SIL)</w:t>
      </w:r>
    </w:p>
    <w:p>
      <w:pPr>
        <w:pStyle w:val="ListBullet"/>
      </w:pPr>
      <w:r>
        <w:rPr>
          <w:sz w:val="21"/>
        </w:rPr>
        <w:t>Are routines, sleep patterns and noise tolerance compatible with current residents?</w:t>
      </w:r>
    </w:p>
    <w:p>
      <w:pPr>
        <w:pStyle w:val="ListBullet"/>
      </w:pPr>
      <w:r>
        <w:rPr>
          <w:sz w:val="21"/>
        </w:rPr>
        <w:t>Is there any history of conflict, aggression or vulnerability that creates risk between housemates?</w:t>
      </w:r>
    </w:p>
    <w:p>
      <w:pPr>
        <w:pStyle w:val="ListBullet"/>
      </w:pPr>
      <w:r>
        <w:rPr>
          <w:sz w:val="21"/>
        </w:rPr>
        <w:t>Do communication styles and social needs fit, or will they isolate someone?</w:t>
      </w:r>
    </w:p>
    <w:p>
      <w:pPr>
        <w:pStyle w:val="ListBullet"/>
      </w:pPr>
      <w:r>
        <w:rPr>
          <w:sz w:val="21"/>
        </w:rPr>
        <w:t>Have current residents (or their representatives) been consulted about the new placement?</w:t>
      </w:r>
    </w:p>
    <w:p>
      <w:r>
        <w:rPr>
          <w:b/>
          <w:color w:val="0E7C6E"/>
          <w:sz w:val="26"/>
        </w:rPr>
        <w:t>C. Environment &amp; safety</w:t>
      </w:r>
    </w:p>
    <w:p>
      <w:pPr>
        <w:pStyle w:val="ListBullet"/>
      </w:pPr>
      <w:r>
        <w:rPr>
          <w:sz w:val="21"/>
        </w:rPr>
        <w:t>Is the dwelling physically suitable (access, bathroom, bedroom, exits)?</w:t>
      </w:r>
    </w:p>
    <w:p>
      <w:pPr>
        <w:pStyle w:val="ListBullet"/>
      </w:pPr>
      <w:r>
        <w:rPr>
          <w:sz w:val="21"/>
        </w:rPr>
        <w:t>Are there environmental restrictive-practice risks (locks, sensors, gates)? (see URP Guide — Bonus-04)</w:t>
      </w:r>
    </w:p>
    <w:p>
      <w:pPr>
        <w:pStyle w:val="ListBullet"/>
      </w:pPr>
      <w:r>
        <w:rPr>
          <w:sz w:val="21"/>
        </w:rPr>
        <w:t>Are emergency and evacuation arrangements workable for this participant?</w:t>
      </w:r>
    </w:p>
    <w:p>
      <w:r>
        <w:rPr>
          <w:b/>
          <w:color w:val="0E7C6E"/>
          <w:sz w:val="26"/>
        </w:rPr>
        <w:t>D. Red flags that warrant DECLINE or ESCALATION</w:t>
      </w:r>
    </w:p>
    <w:p>
      <w:pPr>
        <w:pStyle w:val="ListBullet"/>
      </w:pPr>
      <w:r>
        <w:rPr>
          <w:sz w:val="21"/>
        </w:rPr>
        <w:t>Support needs clearly exceed funded hours with no path to plan review.</w:t>
      </w:r>
    </w:p>
    <w:p>
      <w:pPr>
        <w:pStyle w:val="ListBullet"/>
      </w:pPr>
      <w:r>
        <w:rPr>
          <w:sz w:val="21"/>
        </w:rPr>
        <w:t>Safety risk to the participant, housemates or staff that cannot be controlled.</w:t>
      </w:r>
    </w:p>
    <w:p>
      <w:pPr>
        <w:pStyle w:val="ListBullet"/>
      </w:pPr>
      <w:r>
        <w:rPr>
          <w:sz w:val="21"/>
        </w:rPr>
        <w:t>Required clinical/behaviour supports are not in place and cannot be sourced.</w:t>
      </w:r>
    </w:p>
    <w:p>
      <w:pPr>
        <w:pStyle w:val="ListBullet"/>
      </w:pPr>
      <w:r>
        <w:rPr>
          <w:sz w:val="21"/>
        </w:rPr>
        <w:t>Consent or substitute-decision arrangements are unclear or contested.</w:t>
      </w:r>
    </w:p>
    <w:p>
      <w:r>
        <w:rPr>
          <w:color w:val="1A1A1A"/>
          <w:sz w:val="21"/>
        </w:rPr>
        <w:t>Decision: record the outcome (Proceed / Proceed with plan / Decline), the reasons, and who approved it. File with the participant's records as evidence of person-centred, safe intake.</w:t>
      </w:r>
    </w:p>
    <w:p/>
    <w:p>
      <w:r>
        <w:rPr>
          <w:i/>
          <w:color w:val="6A6A6A"/>
          <w:sz w:val="16"/>
        </w:rPr>
        <w:t>This document supports your obligations under the NDIS Practice Standards; it is a customisable template, not legal advice. Seek advice for your specific circumstances. © NDISCompliant — licensed to the purchaser.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