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jc w:val="center"/>
      </w:pPr>
      <w:r>
        <w:rPr>
          <w:rFonts w:ascii="Arial" w:cs="Arial" w:eastAsia="Arial" w:hAnsi="Arial"/>
          <w:b/>
          <w:bCs/>
          <w:color w:val="1B2A4A"/>
          <w:sz w:val="32"/>
          <w:szCs w:val="32"/>
        </w:rPr>
        <w:t xml:space="preserve">[YOUR ORGANISATION NAME]</w:t>
      </w:r>
    </w:p>
    <w:p>
      <w:pPr>
        <w:spacing w:after="200"/>
        <w:jc w:val="center"/>
      </w:pPr>
      <w:r>
        <w:rPr>
          <w:rFonts w:ascii="Arial" w:cs="Arial" w:eastAsia="Arial" w:hAnsi="Arial"/>
          <w:color w:val="666666"/>
          <w:sz w:val="20"/>
          <w:szCs w:val="20"/>
        </w:rPr>
        <w:t xml:space="preserve">ABN: [YOUR ABN]  |  NDIS Provider Number: [YOUR PROVIDER NUMBER]</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000"/>
        <w:gridCol w:w="6026"/>
      </w:tblGrid>
      <w:tr>
        <w:tc>
          <w:tcPr>
            <w:tcW w:type="dxa" w:w="3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Document Title:</w:t>
            </w:r>
          </w:p>
        </w:tc>
        <w:tc>
          <w:tcPr>
            <w:tcW w:type="dxa" w:w="6026"/>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Incident Management Policy and Procedure</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Document Number:</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POL-INC-001</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Version:</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26.04</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Date Created:</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[INSERT DATE]</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Last Reviewed:</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April 2026</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Next Review Due:</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[INSERT DATE — within 12 months]</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Approved By:</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[INSERT NAME AND POSITION]</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Owner:</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[Quality and Compliance Manager / Director]</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NDIS Practice Standard:</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Core Module — Outcome 2.4: Incident Management</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Applicable To:</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All workers, contractors, and volunteers</w:t>
            </w:r>
          </w:p>
        </w:tc>
      </w:tr>
    </w:tbl>
    <w:p>
      <w:pPr>
        <w:spacing w:after="120"/>
      </w:pPr>
    </w:p>
    <w:p>
      <w:pPr>
        <w:pStyle w:val="Heading1"/>
        <w:spacing w:after="180" w:before="360"/>
      </w:pPr>
      <w:r>
        <w:rPr>
          <w:rFonts w:ascii="Arial" w:cs="Arial" w:eastAsia="Arial" w:hAnsi="Arial"/>
        </w:rPr>
        <w:t xml:space="preserve">1. Purpose</w:t>
      </w:r>
    </w:p>
    <w:p>
      <w:pPr>
        <w:spacing w:after="120" w:before="0"/>
        <w:jc w:val="left"/>
      </w:pPr>
      <w:r>
        <w:rPr>
          <w:rFonts w:ascii="Arial" w:cs="Arial" w:eastAsia="Arial" w:hAnsi="Arial"/>
          <w:b w:val="false"/>
          <w:bCs w:val="false"/>
          <w:i w:val="false"/>
          <w:iCs w:val="false"/>
          <w:color w:val="333333"/>
          <w:sz w:val="24"/>
          <w:szCs w:val="24"/>
        </w:rPr>
        <w:t xml:space="preserve">This policy establishes the framework for identifying, recording, managing, investigating, and resolving incidents that occur during the delivery of NDIS supports and services. It ensures compliance with the National Disability Insurance Scheme (Incident Management and Reportable Incidents) Rules 2018 and the NDIS Practice Standards Core Module.</w:t>
      </w:r>
    </w:p>
    <w:p>
      <w:pPr>
        <w:spacing w:after="120"/>
      </w:pPr>
    </w:p>
    <w:p>
      <w:pPr>
        <w:pStyle w:val="Heading1"/>
        <w:spacing w:after="180" w:before="360"/>
      </w:pPr>
      <w:r>
        <w:rPr>
          <w:rFonts w:ascii="Arial" w:cs="Arial" w:eastAsia="Arial" w:hAnsi="Arial"/>
        </w:rPr>
        <w:t xml:space="preserve">2. Scope</w:t>
      </w:r>
    </w:p>
    <w:p>
      <w:pPr>
        <w:spacing w:after="120" w:before="0"/>
        <w:jc w:val="left"/>
      </w:pPr>
      <w:r>
        <w:rPr>
          <w:rFonts w:ascii="Arial" w:cs="Arial" w:eastAsia="Arial" w:hAnsi="Arial"/>
          <w:b w:val="false"/>
          <w:bCs w:val="false"/>
          <w:i w:val="false"/>
          <w:iCs w:val="false"/>
          <w:color w:val="333333"/>
          <w:sz w:val="24"/>
          <w:szCs w:val="24"/>
        </w:rPr>
        <w:t xml:space="preserve">This policy applies to all workers, contractors, volunteers, and management of [YOUR ORGANISATION NAME] involved in the delivery of supports and services to NDIS participants, including Supported Independent Living (SIL) supports.</w:t>
      </w:r>
    </w:p>
    <w:p>
      <w:pPr>
        <w:spacing w:after="120"/>
      </w:pPr>
    </w:p>
    <w:p>
      <w:pPr>
        <w:pStyle w:val="Heading1"/>
        <w:spacing w:after="180" w:before="360"/>
      </w:pPr>
      <w:r>
        <w:rPr>
          <w:rFonts w:ascii="Arial" w:cs="Arial" w:eastAsia="Arial" w:hAnsi="Arial"/>
        </w:rPr>
        <w:t xml:space="preserve">3. Definitions</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500"/>
        <w:gridCol w:w="6526"/>
      </w:tblGrid>
      <w:tr>
        <w:tc>
          <w:tcPr>
            <w:tcW w:type="dxa" w:w="25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Term</w:t>
            </w:r>
          </w:p>
        </w:tc>
        <w:tc>
          <w:tcPr>
            <w:tcW w:type="dxa" w:w="6526"/>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Definition</w:t>
            </w:r>
          </w:p>
        </w:tc>
      </w:tr>
      <w:tr>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Incident</w:t>
            </w:r>
          </w:p>
        </w:tc>
        <w:tc>
          <w:tcPr>
            <w:tcW w:type="dxa" w:w="65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Any event or circumstance that has caused, or has the potential to cause, harm to a participant, worker, or other person during the delivery of NDIS supports.</w:t>
            </w:r>
          </w:p>
        </w:tc>
      </w:tr>
      <w:tr>
        <w:tc>
          <w:tcPr>
            <w:tcW w:type="dxa" w:w="25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Reportable Incident</w:t>
            </w:r>
          </w:p>
        </w:tc>
        <w:tc>
          <w:tcPr>
            <w:tcW w:type="dxa" w:w="65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An incident that must be reported to the NDIS Commission under the Incident Management and Reportable Incidents Rules 2018.</w:t>
            </w:r>
          </w:p>
        </w:tc>
      </w:tr>
      <w:tr>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Near Miss</w:t>
            </w:r>
          </w:p>
        </w:tc>
        <w:tc>
          <w:tcPr>
            <w:tcW w:type="dxa" w:w="65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An event that could have resulted in harm but did not, either by chance or timely intervention.</w:t>
            </w:r>
          </w:p>
        </w:tc>
      </w:tr>
      <w:tr>
        <w:tc>
          <w:tcPr>
            <w:tcW w:type="dxa" w:w="25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Restrictive Practice</w:t>
            </w:r>
          </w:p>
        </w:tc>
        <w:tc>
          <w:tcPr>
            <w:tcW w:type="dxa" w:w="65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Any practice or intervention that has the effect of restricting the rights or freedom of movement of a person with disability.</w:t>
            </w:r>
          </w:p>
        </w:tc>
      </w:tr>
      <w:tr>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NDIS Commission</w:t>
            </w:r>
          </w:p>
        </w:tc>
        <w:tc>
          <w:tcPr>
            <w:tcW w:type="dxa" w:w="65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The NDIS Quality and Safeguards Commission, the independent body overseeing the quality and safety of NDIS supports.</w:t>
            </w:r>
          </w:p>
        </w:tc>
      </w:tr>
    </w:tbl>
    <w:p>
      <w:pPr>
        <w:spacing w:after="120"/>
      </w:pPr>
    </w:p>
    <w:p>
      <w:pPr>
        <w:pStyle w:val="Heading1"/>
        <w:spacing w:after="180" w:before="360"/>
      </w:pPr>
      <w:r>
        <w:rPr>
          <w:rFonts w:ascii="Arial" w:cs="Arial" w:eastAsia="Arial" w:hAnsi="Arial"/>
        </w:rPr>
        <w:t xml:space="preserve">4. Reportable Incident Categories</w:t>
      </w:r>
    </w:p>
    <w:p>
      <w:pPr>
        <w:spacing w:after="120" w:before="0"/>
        <w:jc w:val="left"/>
      </w:pPr>
      <w:r>
        <w:rPr>
          <w:rFonts w:ascii="Arial" w:cs="Arial" w:eastAsia="Arial" w:hAnsi="Arial"/>
          <w:b w:val="false"/>
          <w:bCs w:val="false"/>
          <w:i w:val="false"/>
          <w:iCs w:val="false"/>
          <w:color w:val="333333"/>
          <w:sz w:val="24"/>
          <w:szCs w:val="24"/>
        </w:rPr>
        <w:t xml:space="preserve">The following categories of incidents must be reported to the NDIS Commission:</w:t>
      </w:r>
    </w:p>
    <w:p>
      <w:pPr>
        <w:spacing w:after="120"/>
      </w:pPr>
    </w:p>
    <w:p>
      <w:pPr>
        <w:pStyle w:val="ListParagraph"/>
        <w:numPr>
          <w:ilvl w:val="0"/>
          <w:numId w:val="2"/>
        </w:numPr>
        <w:spacing w:after="80"/>
      </w:pPr>
      <w:r>
        <w:rPr>
          <w:rFonts w:ascii="Arial" w:cs="Arial" w:eastAsia="Arial" w:hAnsi="Arial"/>
          <w:color w:val="333333"/>
          <w:sz w:val="24"/>
          <w:szCs w:val="24"/>
        </w:rPr>
        <w:t xml:space="preserve">The death of a participant</w:t>
      </w:r>
    </w:p>
    <w:p>
      <w:pPr>
        <w:pStyle w:val="ListParagraph"/>
        <w:numPr>
          <w:ilvl w:val="0"/>
          <w:numId w:val="2"/>
        </w:numPr>
        <w:spacing w:after="80"/>
      </w:pPr>
      <w:r>
        <w:rPr>
          <w:rFonts w:ascii="Arial" w:cs="Arial" w:eastAsia="Arial" w:hAnsi="Arial"/>
          <w:color w:val="333333"/>
          <w:sz w:val="24"/>
          <w:szCs w:val="24"/>
        </w:rPr>
        <w:t xml:space="preserve">Serious injury of a participant</w:t>
      </w:r>
    </w:p>
    <w:p>
      <w:pPr>
        <w:pStyle w:val="ListParagraph"/>
        <w:numPr>
          <w:ilvl w:val="0"/>
          <w:numId w:val="2"/>
        </w:numPr>
        <w:spacing w:after="80"/>
      </w:pPr>
      <w:r>
        <w:rPr>
          <w:rFonts w:ascii="Arial" w:cs="Arial" w:eastAsia="Arial" w:hAnsi="Arial"/>
          <w:color w:val="333333"/>
          <w:sz w:val="24"/>
          <w:szCs w:val="24"/>
        </w:rPr>
        <w:t xml:space="preserve">Abuse or neglect of a participant</w:t>
      </w:r>
    </w:p>
    <w:p>
      <w:pPr>
        <w:pStyle w:val="ListParagraph"/>
        <w:numPr>
          <w:ilvl w:val="0"/>
          <w:numId w:val="2"/>
        </w:numPr>
        <w:spacing w:after="80"/>
      </w:pPr>
      <w:r>
        <w:rPr>
          <w:rFonts w:ascii="Arial" w:cs="Arial" w:eastAsia="Arial" w:hAnsi="Arial"/>
          <w:color w:val="333333"/>
          <w:sz w:val="24"/>
          <w:szCs w:val="24"/>
        </w:rPr>
        <w:t xml:space="preserve">Unlawful sexual or physical contact with, or assault of, a participant</w:t>
      </w:r>
    </w:p>
    <w:p>
      <w:pPr>
        <w:pStyle w:val="ListParagraph"/>
        <w:numPr>
          <w:ilvl w:val="0"/>
          <w:numId w:val="2"/>
        </w:numPr>
        <w:spacing w:after="80"/>
      </w:pPr>
      <w:r>
        <w:rPr>
          <w:rFonts w:ascii="Arial" w:cs="Arial" w:eastAsia="Arial" w:hAnsi="Arial"/>
          <w:color w:val="333333"/>
          <w:sz w:val="24"/>
          <w:szCs w:val="24"/>
        </w:rPr>
        <w:t xml:space="preserve">Sexual misconduct committed against, or in the presence of, a participant, including grooming</w:t>
      </w:r>
    </w:p>
    <w:p>
      <w:pPr>
        <w:pStyle w:val="ListParagraph"/>
        <w:numPr>
          <w:ilvl w:val="0"/>
          <w:numId w:val="2"/>
        </w:numPr>
        <w:spacing w:after="80"/>
      </w:pPr>
      <w:r>
        <w:rPr>
          <w:rFonts w:ascii="Arial" w:cs="Arial" w:eastAsia="Arial" w:hAnsi="Arial"/>
          <w:color w:val="333333"/>
          <w:sz w:val="24"/>
          <w:szCs w:val="24"/>
        </w:rPr>
        <w:t xml:space="preserve">The use of a restrictive practice in relation to a participant that is not authorised or not used in accordance with a behaviour support plan, or that is used as a punishment</w:t>
      </w:r>
    </w:p>
    <w:p>
      <w:pPr>
        <w:spacing w:after="120"/>
      </w:pPr>
    </w:p>
    <w:p>
      <w:pPr>
        <w:pStyle w:val="Heading1"/>
        <w:spacing w:after="180" w:before="360"/>
      </w:pPr>
      <w:r>
        <w:rPr>
          <w:rFonts w:ascii="Arial" w:cs="Arial" w:eastAsia="Arial" w:hAnsi="Arial"/>
        </w:rPr>
        <w:t xml:space="preserve">5. Reporting Timeframes</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000"/>
        <w:gridCol w:w="3013"/>
        <w:gridCol w:w="3013"/>
      </w:tblGrid>
      <w:tr>
        <w:tc>
          <w:tcPr>
            <w:tcW w:type="dxa" w:w="3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Incident Type</w:t>
            </w:r>
          </w:p>
        </w:tc>
        <w:tc>
          <w:tcPr>
            <w:tcW w:type="dxa" w:w="3013"/>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Notification to NDIS Commission</w:t>
            </w:r>
          </w:p>
        </w:tc>
        <w:tc>
          <w:tcPr>
            <w:tcW w:type="dxa" w:w="3013"/>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Further Details</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Death of a participant</w:t>
            </w:r>
          </w:p>
        </w:tc>
        <w:tc>
          <w:tcPr>
            <w:tcW w:type="dxa" w:w="3013"/>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Within 24 hours</w:t>
            </w:r>
          </w:p>
        </w:tc>
        <w:tc>
          <w:tcPr>
            <w:tcW w:type="dxa" w:w="3013"/>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Within 5 business days</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Serious injury</w:t>
            </w:r>
          </w:p>
        </w:tc>
        <w:tc>
          <w:tcPr>
            <w:tcW w:type="dxa" w:w="3013"/>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Within 24 hours</w:t>
            </w:r>
          </w:p>
        </w:tc>
        <w:tc>
          <w:tcPr>
            <w:tcW w:type="dxa" w:w="3013"/>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Within 5 business days</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Abuse or neglect</w:t>
            </w:r>
          </w:p>
        </w:tc>
        <w:tc>
          <w:tcPr>
            <w:tcW w:type="dxa" w:w="3013"/>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Within 24 hours</w:t>
            </w:r>
          </w:p>
        </w:tc>
        <w:tc>
          <w:tcPr>
            <w:tcW w:type="dxa" w:w="3013"/>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Within 5 business days</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Unlawful contact or assault</w:t>
            </w:r>
          </w:p>
        </w:tc>
        <w:tc>
          <w:tcPr>
            <w:tcW w:type="dxa" w:w="3013"/>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Within 24 hours</w:t>
            </w:r>
          </w:p>
        </w:tc>
        <w:tc>
          <w:tcPr>
            <w:tcW w:type="dxa" w:w="3013"/>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Within 5 business days</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Sexual misconduct</w:t>
            </w:r>
          </w:p>
        </w:tc>
        <w:tc>
          <w:tcPr>
            <w:tcW w:type="dxa" w:w="3013"/>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Within 24 hours</w:t>
            </w:r>
          </w:p>
        </w:tc>
        <w:tc>
          <w:tcPr>
            <w:tcW w:type="dxa" w:w="3013"/>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Within 5 business days</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Unauthorised restrictive practice</w:t>
            </w:r>
          </w:p>
        </w:tc>
        <w:tc>
          <w:tcPr>
            <w:tcW w:type="dxa" w:w="3013"/>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Within 5 business days</w:t>
            </w:r>
          </w:p>
        </w:tc>
        <w:tc>
          <w:tcPr>
            <w:tcW w:type="dxa" w:w="3013"/>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Within 60 business days</w:t>
            </w:r>
          </w:p>
        </w:tc>
      </w:tr>
    </w:tbl>
    <w:p>
      <w:pPr>
        <w:spacing w:after="120"/>
      </w:pPr>
    </w:p>
    <w:p>
      <w:pPr>
        <w:pStyle w:val="Heading1"/>
        <w:spacing w:after="180" w:before="360"/>
      </w:pPr>
      <w:r>
        <w:rPr>
          <w:rFonts w:ascii="Arial" w:cs="Arial" w:eastAsia="Arial" w:hAnsi="Arial"/>
        </w:rPr>
        <w:t xml:space="preserve">6. Incident Management Procedure</w:t>
      </w:r>
    </w:p>
    <w:p>
      <w:pPr>
        <w:pStyle w:val="Heading2"/>
        <w:spacing w:after="180" w:before="360"/>
      </w:pPr>
      <w:r>
        <w:rPr>
          <w:rFonts w:ascii="Arial" w:cs="Arial" w:eastAsia="Arial" w:hAnsi="Arial"/>
        </w:rPr>
        <w:t xml:space="preserve">6.1 Immediate Response</w:t>
      </w:r>
    </w:p>
    <w:p>
      <w:pPr>
        <w:pStyle w:val="ListParagraph"/>
        <w:numPr>
          <w:ilvl w:val="0"/>
          <w:numId w:val="2"/>
        </w:numPr>
        <w:spacing w:after="80"/>
      </w:pPr>
      <w:r>
        <w:rPr>
          <w:rFonts w:ascii="Arial" w:cs="Arial" w:eastAsia="Arial" w:hAnsi="Arial"/>
          <w:color w:val="333333"/>
          <w:sz w:val="24"/>
          <w:szCs w:val="24"/>
        </w:rPr>
        <w:t xml:space="preserve">Ensure the safety and wellbeing of all persons involved, including the participant, workers, and any other persons present.</w:t>
      </w:r>
    </w:p>
    <w:p>
      <w:pPr>
        <w:pStyle w:val="ListParagraph"/>
        <w:numPr>
          <w:ilvl w:val="0"/>
          <w:numId w:val="2"/>
        </w:numPr>
        <w:spacing w:after="80"/>
      </w:pPr>
      <w:r>
        <w:rPr>
          <w:rFonts w:ascii="Arial" w:cs="Arial" w:eastAsia="Arial" w:hAnsi="Arial"/>
          <w:color w:val="333333"/>
          <w:sz w:val="24"/>
          <w:szCs w:val="24"/>
        </w:rPr>
        <w:t xml:space="preserve">Call 000 if there is an immediate risk to life, health, or safety, or if a criminal offence is suspected.</w:t>
      </w:r>
    </w:p>
    <w:p>
      <w:pPr>
        <w:pStyle w:val="ListParagraph"/>
        <w:numPr>
          <w:ilvl w:val="0"/>
          <w:numId w:val="2"/>
        </w:numPr>
        <w:spacing w:after="80"/>
      </w:pPr>
      <w:r>
        <w:rPr>
          <w:rFonts w:ascii="Arial" w:cs="Arial" w:eastAsia="Arial" w:hAnsi="Arial"/>
          <w:color w:val="333333"/>
          <w:sz w:val="24"/>
          <w:szCs w:val="24"/>
        </w:rPr>
        <w:t xml:space="preserve">Provide first aid or arrange medical attention as required.</w:t>
      </w:r>
    </w:p>
    <w:p>
      <w:pPr>
        <w:pStyle w:val="ListParagraph"/>
        <w:numPr>
          <w:ilvl w:val="0"/>
          <w:numId w:val="2"/>
        </w:numPr>
        <w:spacing w:after="80"/>
      </w:pPr>
      <w:r>
        <w:rPr>
          <w:rFonts w:ascii="Arial" w:cs="Arial" w:eastAsia="Arial" w:hAnsi="Arial"/>
          <w:color w:val="333333"/>
          <w:sz w:val="24"/>
          <w:szCs w:val="24"/>
        </w:rPr>
        <w:t xml:space="preserve">Preserve any evidence relevant to the incident (do not alter the scene if a serious incident has occurred).</w:t>
      </w:r>
    </w:p>
    <w:p>
      <w:pPr>
        <w:pStyle w:val="ListParagraph"/>
        <w:numPr>
          <w:ilvl w:val="0"/>
          <w:numId w:val="2"/>
        </w:numPr>
        <w:spacing w:after="80"/>
      </w:pPr>
      <w:r>
        <w:rPr>
          <w:rFonts w:ascii="Arial" w:cs="Arial" w:eastAsia="Arial" w:hAnsi="Arial"/>
          <w:color w:val="333333"/>
          <w:sz w:val="24"/>
          <w:szCs w:val="24"/>
        </w:rPr>
        <w:t xml:space="preserve">Notify the on-call manager or supervisor immediately by phone.</w:t>
      </w:r>
    </w:p>
    <w:p>
      <w:pPr>
        <w:spacing w:after="120"/>
      </w:pPr>
    </w:p>
    <w:p>
      <w:pPr>
        <w:pStyle w:val="Heading2"/>
        <w:spacing w:after="180" w:before="360"/>
      </w:pPr>
      <w:r>
        <w:rPr>
          <w:rFonts w:ascii="Arial" w:cs="Arial" w:eastAsia="Arial" w:hAnsi="Arial"/>
        </w:rPr>
        <w:t xml:space="preserve">6.2 Recording the Incident</w:t>
      </w:r>
    </w:p>
    <w:p>
      <w:pPr>
        <w:spacing w:after="120" w:before="0"/>
        <w:jc w:val="left"/>
      </w:pPr>
      <w:r>
        <w:rPr>
          <w:rFonts w:ascii="Arial" w:cs="Arial" w:eastAsia="Arial" w:hAnsi="Arial"/>
          <w:b w:val="false"/>
          <w:bCs w:val="false"/>
          <w:i w:val="false"/>
          <w:iCs w:val="false"/>
          <w:color w:val="333333"/>
          <w:sz w:val="24"/>
          <w:szCs w:val="24"/>
        </w:rPr>
        <w:t xml:space="preserve">All incidents, near misses, and hazards must be recorded using the Incident Report Form (FORM-INC-001) as soon as practicable, and no later than 24 hours after the incident is identified. The record must include:</w:t>
      </w:r>
    </w:p>
    <w:p>
      <w:pPr>
        <w:pStyle w:val="ListParagraph"/>
        <w:numPr>
          <w:ilvl w:val="0"/>
          <w:numId w:val="3"/>
        </w:numPr>
        <w:spacing w:after="80"/>
      </w:pPr>
      <w:r>
        <w:rPr>
          <w:rFonts w:ascii="Arial" w:cs="Arial" w:eastAsia="Arial" w:hAnsi="Arial"/>
          <w:color w:val="333333"/>
          <w:sz w:val="24"/>
          <w:szCs w:val="24"/>
        </w:rPr>
        <w:t xml:space="preserve">Date, time, and location of the incident</w:t>
      </w:r>
    </w:p>
    <w:p>
      <w:pPr>
        <w:pStyle w:val="ListParagraph"/>
        <w:numPr>
          <w:ilvl w:val="0"/>
          <w:numId w:val="3"/>
        </w:numPr>
        <w:spacing w:after="80"/>
      </w:pPr>
      <w:r>
        <w:rPr>
          <w:rFonts w:ascii="Arial" w:cs="Arial" w:eastAsia="Arial" w:hAnsi="Arial"/>
          <w:color w:val="333333"/>
          <w:sz w:val="24"/>
          <w:szCs w:val="24"/>
        </w:rPr>
        <w:t xml:space="preserve">Names of all persons involved (participant, workers, witnesses)</w:t>
      </w:r>
    </w:p>
    <w:p>
      <w:pPr>
        <w:pStyle w:val="ListParagraph"/>
        <w:numPr>
          <w:ilvl w:val="0"/>
          <w:numId w:val="3"/>
        </w:numPr>
        <w:spacing w:after="80"/>
      </w:pPr>
      <w:r>
        <w:rPr>
          <w:rFonts w:ascii="Arial" w:cs="Arial" w:eastAsia="Arial" w:hAnsi="Arial"/>
          <w:color w:val="333333"/>
          <w:sz w:val="24"/>
          <w:szCs w:val="24"/>
        </w:rPr>
        <w:t xml:space="preserve">Factual, objective description of what occurred</w:t>
      </w:r>
    </w:p>
    <w:p>
      <w:pPr>
        <w:pStyle w:val="ListParagraph"/>
        <w:numPr>
          <w:ilvl w:val="0"/>
          <w:numId w:val="3"/>
        </w:numPr>
        <w:spacing w:after="80"/>
      </w:pPr>
      <w:r>
        <w:rPr>
          <w:rFonts w:ascii="Arial" w:cs="Arial" w:eastAsia="Arial" w:hAnsi="Arial"/>
          <w:color w:val="333333"/>
          <w:sz w:val="24"/>
          <w:szCs w:val="24"/>
        </w:rPr>
        <w:t xml:space="preserve">Immediate actions taken</w:t>
      </w:r>
    </w:p>
    <w:p>
      <w:pPr>
        <w:pStyle w:val="ListParagraph"/>
        <w:numPr>
          <w:ilvl w:val="0"/>
          <w:numId w:val="3"/>
        </w:numPr>
        <w:spacing w:after="80"/>
      </w:pPr>
      <w:r>
        <w:rPr>
          <w:rFonts w:ascii="Arial" w:cs="Arial" w:eastAsia="Arial" w:hAnsi="Arial"/>
          <w:color w:val="333333"/>
          <w:sz w:val="24"/>
          <w:szCs w:val="24"/>
        </w:rPr>
        <w:t xml:space="preserve">Any injuries sustained or medical attention provided</w:t>
      </w:r>
    </w:p>
    <w:p>
      <w:pPr>
        <w:pStyle w:val="ListParagraph"/>
        <w:numPr>
          <w:ilvl w:val="0"/>
          <w:numId w:val="3"/>
        </w:numPr>
        <w:spacing w:after="80"/>
      </w:pPr>
      <w:r>
        <w:rPr>
          <w:rFonts w:ascii="Arial" w:cs="Arial" w:eastAsia="Arial" w:hAnsi="Arial"/>
          <w:color w:val="333333"/>
          <w:sz w:val="24"/>
          <w:szCs w:val="24"/>
        </w:rPr>
        <w:t xml:space="preserve">Whether the incident is a reportable incident under the NDIS Rules</w:t>
      </w:r>
    </w:p>
    <w:p>
      <w:pPr>
        <w:pStyle w:val="ListParagraph"/>
        <w:numPr>
          <w:ilvl w:val="0"/>
          <w:numId w:val="3"/>
        </w:numPr>
        <w:spacing w:after="80"/>
      </w:pPr>
      <w:r>
        <w:rPr>
          <w:rFonts w:ascii="Arial" w:cs="Arial" w:eastAsia="Arial" w:hAnsi="Arial"/>
          <w:color w:val="333333"/>
          <w:sz w:val="24"/>
          <w:szCs w:val="24"/>
        </w:rPr>
        <w:t xml:space="preserve">The name, position, and signature of the person completing the report</w:t>
      </w:r>
    </w:p>
    <w:p>
      <w:pPr>
        <w:spacing w:after="120"/>
      </w:pPr>
    </w:p>
    <w:p>
      <w:pPr>
        <w:pStyle w:val="Heading2"/>
        <w:spacing w:after="180" w:before="360"/>
      </w:pPr>
      <w:r>
        <w:rPr>
          <w:rFonts w:ascii="Arial" w:cs="Arial" w:eastAsia="Arial" w:hAnsi="Arial"/>
        </w:rPr>
        <w:t xml:space="preserve">6.3 Classification and Escalation</w:t>
      </w:r>
    </w:p>
    <w:p>
      <w:pPr>
        <w:spacing w:after="120" w:before="0"/>
        <w:jc w:val="left"/>
      </w:pPr>
      <w:r>
        <w:rPr>
          <w:rFonts w:ascii="Arial" w:cs="Arial" w:eastAsia="Arial" w:hAnsi="Arial"/>
          <w:b w:val="false"/>
          <w:bCs w:val="false"/>
          <w:i w:val="false"/>
          <w:iCs w:val="false"/>
          <w:color w:val="333333"/>
          <w:sz w:val="24"/>
          <w:szCs w:val="24"/>
        </w:rPr>
        <w:t xml:space="preserve">The manager or nominated person must review each incident report within 24 hours and classify it as:</w:t>
      </w:r>
    </w:p>
    <w:p>
      <w:pPr>
        <w:pStyle w:val="ListParagraph"/>
        <w:numPr>
          <w:ilvl w:val="0"/>
          <w:numId w:val="3"/>
        </w:numPr>
        <w:spacing w:after="80"/>
      </w:pPr>
      <w:r>
        <w:rPr>
          <w:rFonts w:ascii="Arial" w:cs="Arial" w:eastAsia="Arial" w:hAnsi="Arial"/>
          <w:color w:val="333333"/>
          <w:sz w:val="24"/>
          <w:szCs w:val="24"/>
        </w:rPr>
        <w:t xml:space="preserve">Category 1 (Reportable Incident): Report to the NDIS Commission within the required timeframes above.</w:t>
      </w:r>
    </w:p>
    <w:p>
      <w:pPr>
        <w:pStyle w:val="ListParagraph"/>
        <w:numPr>
          <w:ilvl w:val="0"/>
          <w:numId w:val="3"/>
        </w:numPr>
        <w:spacing w:after="80"/>
      </w:pPr>
      <w:r>
        <w:rPr>
          <w:rFonts w:ascii="Arial" w:cs="Arial" w:eastAsia="Arial" w:hAnsi="Arial"/>
          <w:color w:val="333333"/>
          <w:sz w:val="24"/>
          <w:szCs w:val="24"/>
        </w:rPr>
        <w:t xml:space="preserve">Category 2 (Significant Incident): Internal investigation required. Does not meet the threshold for Commission notification but requires management attention and corrective action.</w:t>
      </w:r>
    </w:p>
    <w:p>
      <w:pPr>
        <w:pStyle w:val="ListParagraph"/>
        <w:numPr>
          <w:ilvl w:val="0"/>
          <w:numId w:val="3"/>
        </w:numPr>
        <w:spacing w:after="80"/>
      </w:pPr>
      <w:r>
        <w:rPr>
          <w:rFonts w:ascii="Arial" w:cs="Arial" w:eastAsia="Arial" w:hAnsi="Arial"/>
          <w:color w:val="333333"/>
          <w:sz w:val="24"/>
          <w:szCs w:val="24"/>
        </w:rPr>
        <w:t xml:space="preserve">Category 3 (Minor Incident / Near Miss): Record, monitor, and include in trend analysis. No immediate investigation required unless patterns emerge.</w:t>
      </w:r>
    </w:p>
    <w:p>
      <w:pPr>
        <w:spacing w:after="120"/>
      </w:pPr>
    </w:p>
    <w:p>
      <w:pPr>
        <w:pStyle w:val="Heading2"/>
        <w:spacing w:after="180" w:before="360"/>
      </w:pPr>
      <w:r>
        <w:rPr>
          <w:rFonts w:ascii="Arial" w:cs="Arial" w:eastAsia="Arial" w:hAnsi="Arial"/>
        </w:rPr>
        <w:t xml:space="preserve">6.4 Investigation</w:t>
      </w:r>
    </w:p>
    <w:p>
      <w:pPr>
        <w:spacing w:after="120" w:before="0"/>
        <w:jc w:val="left"/>
      </w:pPr>
      <w:r>
        <w:rPr>
          <w:rFonts w:ascii="Arial" w:cs="Arial" w:eastAsia="Arial" w:hAnsi="Arial"/>
          <w:b w:val="false"/>
          <w:bCs w:val="false"/>
          <w:i w:val="false"/>
          <w:iCs w:val="false"/>
          <w:color w:val="333333"/>
          <w:sz w:val="24"/>
          <w:szCs w:val="24"/>
        </w:rPr>
        <w:t xml:space="preserve">All Category 1 and Category 2 incidents must be investigated by a person who was not directly involved in the incident. The investigation must:</w:t>
      </w:r>
    </w:p>
    <w:p>
      <w:pPr>
        <w:pStyle w:val="ListParagraph"/>
        <w:numPr>
          <w:ilvl w:val="0"/>
          <w:numId w:val="3"/>
        </w:numPr>
        <w:spacing w:after="80"/>
      </w:pPr>
      <w:r>
        <w:rPr>
          <w:rFonts w:ascii="Arial" w:cs="Arial" w:eastAsia="Arial" w:hAnsi="Arial"/>
          <w:color w:val="333333"/>
          <w:sz w:val="24"/>
          <w:szCs w:val="24"/>
        </w:rPr>
        <w:t xml:space="preserve">Commence within 48 hours of the incident being reported</w:t>
      </w:r>
    </w:p>
    <w:p>
      <w:pPr>
        <w:pStyle w:val="ListParagraph"/>
        <w:numPr>
          <w:ilvl w:val="0"/>
          <w:numId w:val="3"/>
        </w:numPr>
        <w:spacing w:after="80"/>
      </w:pPr>
      <w:r>
        <w:rPr>
          <w:rFonts w:ascii="Arial" w:cs="Arial" w:eastAsia="Arial" w:hAnsi="Arial"/>
          <w:color w:val="333333"/>
          <w:sz w:val="24"/>
          <w:szCs w:val="24"/>
        </w:rPr>
        <w:t xml:space="preserve">Include interviews with the participant (where appropriate and with their consent), workers involved, and any witnesses</w:t>
      </w:r>
    </w:p>
    <w:p>
      <w:pPr>
        <w:pStyle w:val="ListParagraph"/>
        <w:numPr>
          <w:ilvl w:val="0"/>
          <w:numId w:val="3"/>
        </w:numPr>
        <w:spacing w:after="80"/>
      </w:pPr>
      <w:r>
        <w:rPr>
          <w:rFonts w:ascii="Arial" w:cs="Arial" w:eastAsia="Arial" w:hAnsi="Arial"/>
          <w:color w:val="333333"/>
          <w:sz w:val="24"/>
          <w:szCs w:val="24"/>
        </w:rPr>
        <w:t xml:space="preserve">Review relevant documentation (shift notes, care plans, behaviour support plans, rosters, previous incident reports)</w:t>
      </w:r>
    </w:p>
    <w:p>
      <w:pPr>
        <w:pStyle w:val="ListParagraph"/>
        <w:numPr>
          <w:ilvl w:val="0"/>
          <w:numId w:val="3"/>
        </w:numPr>
        <w:spacing w:after="80"/>
      </w:pPr>
      <w:r>
        <w:rPr>
          <w:rFonts w:ascii="Arial" w:cs="Arial" w:eastAsia="Arial" w:hAnsi="Arial"/>
          <w:color w:val="333333"/>
          <w:sz w:val="24"/>
          <w:szCs w:val="24"/>
        </w:rPr>
        <w:t xml:space="preserve">Identify the root cause(s) of the incident</w:t>
      </w:r>
    </w:p>
    <w:p>
      <w:pPr>
        <w:pStyle w:val="ListParagraph"/>
        <w:numPr>
          <w:ilvl w:val="0"/>
          <w:numId w:val="3"/>
        </w:numPr>
        <w:spacing w:after="80"/>
      </w:pPr>
      <w:r>
        <w:rPr>
          <w:rFonts w:ascii="Arial" w:cs="Arial" w:eastAsia="Arial" w:hAnsi="Arial"/>
          <w:color w:val="333333"/>
          <w:sz w:val="24"/>
          <w:szCs w:val="24"/>
        </w:rPr>
        <w:t xml:space="preserve">Determine whether any policies, procedures, or practices contributed to the incident</w:t>
      </w:r>
    </w:p>
    <w:p>
      <w:pPr>
        <w:pStyle w:val="ListParagraph"/>
        <w:numPr>
          <w:ilvl w:val="0"/>
          <w:numId w:val="3"/>
        </w:numPr>
        <w:spacing w:after="80"/>
      </w:pPr>
      <w:r>
        <w:rPr>
          <w:rFonts w:ascii="Arial" w:cs="Arial" w:eastAsia="Arial" w:hAnsi="Arial"/>
          <w:color w:val="333333"/>
          <w:sz w:val="24"/>
          <w:szCs w:val="24"/>
        </w:rPr>
        <w:t xml:space="preserve">Recommend corrective actions to prevent recurrence</w:t>
      </w:r>
    </w:p>
    <w:p>
      <w:pPr>
        <w:pStyle w:val="ListParagraph"/>
        <w:numPr>
          <w:ilvl w:val="0"/>
          <w:numId w:val="3"/>
        </w:numPr>
        <w:spacing w:after="80"/>
      </w:pPr>
      <w:r>
        <w:rPr>
          <w:rFonts w:ascii="Arial" w:cs="Arial" w:eastAsia="Arial" w:hAnsi="Arial"/>
          <w:color w:val="333333"/>
          <w:sz w:val="24"/>
          <w:szCs w:val="24"/>
        </w:rPr>
        <w:t xml:space="preserve">Document findings in the Investigation Report section of the Incident Report Form</w:t>
      </w:r>
    </w:p>
    <w:p>
      <w:pPr>
        <w:spacing w:after="120"/>
      </w:pPr>
    </w:p>
    <w:p>
      <w:pPr>
        <w:pStyle w:val="Heading2"/>
        <w:spacing w:after="180" w:before="360"/>
      </w:pPr>
      <w:r>
        <w:rPr>
          <w:rFonts w:ascii="Arial" w:cs="Arial" w:eastAsia="Arial" w:hAnsi="Arial"/>
        </w:rPr>
        <w:t xml:space="preserve">6.5 Corrective Actions and Continuous Improvement</w:t>
      </w:r>
    </w:p>
    <w:p>
      <w:pPr>
        <w:spacing w:after="120" w:before="0"/>
        <w:jc w:val="left"/>
      </w:pPr>
      <w:r>
        <w:rPr>
          <w:rFonts w:ascii="Arial" w:cs="Arial" w:eastAsia="Arial" w:hAnsi="Arial"/>
          <w:b w:val="false"/>
          <w:bCs w:val="false"/>
          <w:i w:val="false"/>
          <w:iCs w:val="false"/>
          <w:color w:val="333333"/>
          <w:sz w:val="24"/>
          <w:szCs w:val="24"/>
        </w:rPr>
        <w:t xml:space="preserve">Following investigation, corrective actions must be:</w:t>
      </w:r>
    </w:p>
    <w:p>
      <w:pPr>
        <w:pStyle w:val="ListParagraph"/>
        <w:numPr>
          <w:ilvl w:val="0"/>
          <w:numId w:val="3"/>
        </w:numPr>
        <w:spacing w:after="80"/>
      </w:pPr>
      <w:r>
        <w:rPr>
          <w:rFonts w:ascii="Arial" w:cs="Arial" w:eastAsia="Arial" w:hAnsi="Arial"/>
          <w:color w:val="333333"/>
          <w:sz w:val="24"/>
          <w:szCs w:val="24"/>
        </w:rPr>
        <w:t xml:space="preserve">Documented with clear responsibilities and timeframes</w:t>
      </w:r>
    </w:p>
    <w:p>
      <w:pPr>
        <w:pStyle w:val="ListParagraph"/>
        <w:numPr>
          <w:ilvl w:val="0"/>
          <w:numId w:val="3"/>
        </w:numPr>
        <w:spacing w:after="80"/>
      </w:pPr>
      <w:r>
        <w:rPr>
          <w:rFonts w:ascii="Arial" w:cs="Arial" w:eastAsia="Arial" w:hAnsi="Arial"/>
          <w:color w:val="333333"/>
          <w:sz w:val="24"/>
          <w:szCs w:val="24"/>
        </w:rPr>
        <w:t xml:space="preserve">Implemented within the agreed timeframe</w:t>
      </w:r>
    </w:p>
    <w:p>
      <w:pPr>
        <w:pStyle w:val="ListParagraph"/>
        <w:numPr>
          <w:ilvl w:val="0"/>
          <w:numId w:val="3"/>
        </w:numPr>
        <w:spacing w:after="80"/>
      </w:pPr>
      <w:r>
        <w:rPr>
          <w:rFonts w:ascii="Arial" w:cs="Arial" w:eastAsia="Arial" w:hAnsi="Arial"/>
          <w:color w:val="333333"/>
          <w:sz w:val="24"/>
          <w:szCs w:val="24"/>
        </w:rPr>
        <w:t xml:space="preserve">Monitored for effectiveness</w:t>
      </w:r>
    </w:p>
    <w:p>
      <w:pPr>
        <w:pStyle w:val="ListParagraph"/>
        <w:numPr>
          <w:ilvl w:val="0"/>
          <w:numId w:val="3"/>
        </w:numPr>
        <w:spacing w:after="80"/>
      </w:pPr>
      <w:r>
        <w:rPr>
          <w:rFonts w:ascii="Arial" w:cs="Arial" w:eastAsia="Arial" w:hAnsi="Arial"/>
          <w:color w:val="333333"/>
          <w:sz w:val="24"/>
          <w:szCs w:val="24"/>
        </w:rPr>
        <w:t xml:space="preserve">Reviewed as part of the organisation’s continuous improvement processes</w:t>
      </w:r>
    </w:p>
    <w:p>
      <w:pPr>
        <w:spacing w:after="120" w:before="0"/>
        <w:jc w:val="left"/>
      </w:pPr>
      <w:r>
        <w:rPr>
          <w:rFonts w:ascii="Arial" w:cs="Arial" w:eastAsia="Arial" w:hAnsi="Arial"/>
          <w:b w:val="false"/>
          <w:bCs w:val="false"/>
          <w:i w:val="false"/>
          <w:iCs w:val="false"/>
          <w:color w:val="333333"/>
          <w:sz w:val="24"/>
          <w:szCs w:val="24"/>
        </w:rPr>
        <w:t xml:space="preserve">All incidents must be recorded in the Incident Register (REG-INC-001) and reviewed quarterly by management to identify trends, patterns, and systemic issues.</w:t>
      </w:r>
    </w:p>
    <w:p>
      <w:pPr>
        <w:spacing w:after="120"/>
      </w:pPr>
    </w:p>
    <w:p>
      <w:pPr>
        <w:pStyle w:val="Heading2"/>
        <w:spacing w:after="180" w:before="360"/>
      </w:pPr>
      <w:r>
        <w:rPr>
          <w:rFonts w:ascii="Arial" w:cs="Arial" w:eastAsia="Arial" w:hAnsi="Arial"/>
        </w:rPr>
        <w:t xml:space="preserve">6.6 Support for Persons Affected</w:t>
      </w:r>
    </w:p>
    <w:p>
      <w:pPr>
        <w:spacing w:after="120" w:before="0"/>
        <w:jc w:val="left"/>
      </w:pPr>
      <w:r>
        <w:rPr>
          <w:rFonts w:ascii="Arial" w:cs="Arial" w:eastAsia="Arial" w:hAnsi="Arial"/>
          <w:b w:val="false"/>
          <w:bCs w:val="false"/>
          <w:i w:val="false"/>
          <w:iCs w:val="false"/>
          <w:color w:val="333333"/>
          <w:sz w:val="24"/>
          <w:szCs w:val="24"/>
        </w:rPr>
        <w:t xml:space="preserve">Following any incident, the organisation must:</w:t>
      </w:r>
    </w:p>
    <w:p>
      <w:pPr>
        <w:pStyle w:val="ListParagraph"/>
        <w:numPr>
          <w:ilvl w:val="0"/>
          <w:numId w:val="3"/>
        </w:numPr>
        <w:spacing w:after="80"/>
      </w:pPr>
      <w:r>
        <w:rPr>
          <w:rFonts w:ascii="Arial" w:cs="Arial" w:eastAsia="Arial" w:hAnsi="Arial"/>
          <w:color w:val="333333"/>
          <w:sz w:val="24"/>
          <w:szCs w:val="24"/>
        </w:rPr>
        <w:t xml:space="preserve">Provide appropriate support to the participant, including access to counselling, advocacy, or medical services</w:t>
      </w:r>
    </w:p>
    <w:p>
      <w:pPr>
        <w:pStyle w:val="ListParagraph"/>
        <w:numPr>
          <w:ilvl w:val="0"/>
          <w:numId w:val="3"/>
        </w:numPr>
        <w:spacing w:after="80"/>
      </w:pPr>
      <w:r>
        <w:rPr>
          <w:rFonts w:ascii="Arial" w:cs="Arial" w:eastAsia="Arial" w:hAnsi="Arial"/>
          <w:color w:val="333333"/>
          <w:sz w:val="24"/>
          <w:szCs w:val="24"/>
        </w:rPr>
        <w:t xml:space="preserve">Inform the participant (and with their consent, their support network) about the incident, the investigation process, and the outcome</w:t>
      </w:r>
    </w:p>
    <w:p>
      <w:pPr>
        <w:pStyle w:val="ListParagraph"/>
        <w:numPr>
          <w:ilvl w:val="0"/>
          <w:numId w:val="3"/>
        </w:numPr>
        <w:spacing w:after="80"/>
      </w:pPr>
      <w:r>
        <w:rPr>
          <w:rFonts w:ascii="Arial" w:cs="Arial" w:eastAsia="Arial" w:hAnsi="Arial"/>
          <w:color w:val="333333"/>
          <w:sz w:val="24"/>
          <w:szCs w:val="24"/>
        </w:rPr>
        <w:t xml:space="preserve">Provide appropriate support to workers involved, including access to Employee Assistance Program (EAP) or equivalent</w:t>
      </w:r>
    </w:p>
    <w:p>
      <w:pPr>
        <w:pStyle w:val="ListParagraph"/>
        <w:numPr>
          <w:ilvl w:val="0"/>
          <w:numId w:val="3"/>
        </w:numPr>
        <w:spacing w:after="80"/>
      </w:pPr>
      <w:r>
        <w:rPr>
          <w:rFonts w:ascii="Arial" w:cs="Arial" w:eastAsia="Arial" w:hAnsi="Arial"/>
          <w:color w:val="333333"/>
          <w:sz w:val="24"/>
          <w:szCs w:val="24"/>
        </w:rPr>
        <w:t xml:space="preserve">Ensure the participant feels safe, respected, and involved throughout the process</w:t>
      </w:r>
    </w:p>
    <w:p>
      <w:pPr>
        <w:spacing w:after="120"/>
      </w:pPr>
    </w:p>
    <w:p>
      <w:pPr>
        <w:pStyle w:val="Heading1"/>
        <w:spacing w:after="180" w:before="360"/>
      </w:pPr>
      <w:r>
        <w:rPr>
          <w:rFonts w:ascii="Arial" w:cs="Arial" w:eastAsia="Arial" w:hAnsi="Arial"/>
        </w:rPr>
        <w:t xml:space="preserve">7. Restrictive Practices Reporting</w:t>
      </w:r>
    </w:p>
    <w:p>
      <w:pPr>
        <w:spacing w:after="120" w:before="0"/>
        <w:jc w:val="left"/>
      </w:pPr>
      <w:r>
        <w:rPr>
          <w:rFonts w:ascii="Arial" w:cs="Arial" w:eastAsia="Arial" w:hAnsi="Arial"/>
          <w:b w:val="false"/>
          <w:bCs w:val="false"/>
          <w:i w:val="false"/>
          <w:iCs w:val="false"/>
          <w:color w:val="333333"/>
          <w:sz w:val="24"/>
          <w:szCs w:val="24"/>
        </w:rPr>
        <w:t xml:space="preserve">Any use of a restrictive practice that is unauthorised, or that does not comply with the requirements of a current behaviour support plan and relevant state or territory authorisation, must be reported to the NDIS Commission as a reportable incident.</w:t>
      </w:r>
    </w:p>
    <w:p>
      <w:pPr>
        <w:spacing w:after="120" w:before="0"/>
        <w:jc w:val="left"/>
      </w:pPr>
      <w:r>
        <w:rPr>
          <w:rFonts w:ascii="Arial" w:cs="Arial" w:eastAsia="Arial" w:hAnsi="Arial"/>
          <w:b w:val="false"/>
          <w:bCs w:val="false"/>
          <w:i w:val="false"/>
          <w:iCs w:val="false"/>
          <w:color w:val="333333"/>
          <w:sz w:val="24"/>
          <w:szCs w:val="24"/>
        </w:rPr>
        <w:t xml:space="preserve">All uses of authorised restrictive practices must be recorded in the Restrictive Practices Register (REG-RP-001), including:</w:t>
      </w:r>
    </w:p>
    <w:p>
      <w:pPr>
        <w:pStyle w:val="ListParagraph"/>
        <w:numPr>
          <w:ilvl w:val="0"/>
          <w:numId w:val="3"/>
        </w:numPr>
        <w:spacing w:after="80"/>
      </w:pPr>
      <w:r>
        <w:rPr>
          <w:rFonts w:ascii="Arial" w:cs="Arial" w:eastAsia="Arial" w:hAnsi="Arial"/>
          <w:color w:val="333333"/>
          <w:sz w:val="24"/>
          <w:szCs w:val="24"/>
        </w:rPr>
        <w:t xml:space="preserve">Type of restrictive practice used</w:t>
      </w:r>
    </w:p>
    <w:p>
      <w:pPr>
        <w:pStyle w:val="ListParagraph"/>
        <w:numPr>
          <w:ilvl w:val="0"/>
          <w:numId w:val="3"/>
        </w:numPr>
        <w:spacing w:after="80"/>
      </w:pPr>
      <w:r>
        <w:rPr>
          <w:rFonts w:ascii="Arial" w:cs="Arial" w:eastAsia="Arial" w:hAnsi="Arial"/>
          <w:color w:val="333333"/>
          <w:sz w:val="24"/>
          <w:szCs w:val="24"/>
        </w:rPr>
        <w:t xml:space="preserve">Whether it was used in accordance with the participant’s behaviour support plan</w:t>
      </w:r>
    </w:p>
    <w:p>
      <w:pPr>
        <w:pStyle w:val="ListParagraph"/>
        <w:numPr>
          <w:ilvl w:val="0"/>
          <w:numId w:val="3"/>
        </w:numPr>
        <w:spacing w:after="80"/>
      </w:pPr>
      <w:r>
        <w:rPr>
          <w:rFonts w:ascii="Arial" w:cs="Arial" w:eastAsia="Arial" w:hAnsi="Arial"/>
          <w:color w:val="333333"/>
          <w:sz w:val="24"/>
          <w:szCs w:val="24"/>
        </w:rPr>
        <w:t xml:space="preserve">Whether de-escalation strategies were attempted first</w:t>
      </w:r>
    </w:p>
    <w:p>
      <w:pPr>
        <w:pStyle w:val="ListParagraph"/>
        <w:numPr>
          <w:ilvl w:val="0"/>
          <w:numId w:val="3"/>
        </w:numPr>
        <w:spacing w:after="80"/>
      </w:pPr>
      <w:r>
        <w:rPr>
          <w:rFonts w:ascii="Arial" w:cs="Arial" w:eastAsia="Arial" w:hAnsi="Arial"/>
          <w:color w:val="333333"/>
          <w:sz w:val="24"/>
          <w:szCs w:val="24"/>
        </w:rPr>
        <w:t xml:space="preserve">Duration of the restrictive practice</w:t>
      </w:r>
    </w:p>
    <w:p>
      <w:pPr>
        <w:pStyle w:val="ListParagraph"/>
        <w:numPr>
          <w:ilvl w:val="0"/>
          <w:numId w:val="3"/>
        </w:numPr>
        <w:spacing w:after="80"/>
      </w:pPr>
      <w:r>
        <w:rPr>
          <w:rFonts w:ascii="Arial" w:cs="Arial" w:eastAsia="Arial" w:hAnsi="Arial"/>
          <w:color w:val="333333"/>
          <w:sz w:val="24"/>
          <w:szCs w:val="24"/>
        </w:rPr>
        <w:t xml:space="preserve">The outcome for the participant</w:t>
      </w:r>
    </w:p>
    <w:p>
      <w:pPr>
        <w:pStyle w:val="ListParagraph"/>
        <w:numPr>
          <w:ilvl w:val="0"/>
          <w:numId w:val="3"/>
        </w:numPr>
        <w:spacing w:after="80"/>
      </w:pPr>
      <w:r>
        <w:rPr>
          <w:rFonts w:ascii="Arial" w:cs="Arial" w:eastAsia="Arial" w:hAnsi="Arial"/>
          <w:color w:val="333333"/>
          <w:sz w:val="24"/>
          <w:szCs w:val="24"/>
        </w:rPr>
        <w:t xml:space="preserve">The name of the worker who used the restrictive practice</w:t>
      </w:r>
    </w:p>
    <w:p>
      <w:pPr>
        <w:spacing w:after="120"/>
      </w:pPr>
    </w:p>
    <w:p>
      <w:pPr>
        <w:pStyle w:val="Heading1"/>
        <w:spacing w:after="180" w:before="360"/>
      </w:pPr>
      <w:r>
        <w:rPr>
          <w:rFonts w:ascii="Arial" w:cs="Arial" w:eastAsia="Arial" w:hAnsi="Arial"/>
        </w:rPr>
        <w:t xml:space="preserve">8. Notification to Other Parties</w:t>
      </w:r>
    </w:p>
    <w:p>
      <w:pPr>
        <w:spacing w:after="120" w:before="0"/>
        <w:jc w:val="left"/>
      </w:pPr>
      <w:r>
        <w:rPr>
          <w:rFonts w:ascii="Arial" w:cs="Arial" w:eastAsia="Arial" w:hAnsi="Arial"/>
          <w:b w:val="false"/>
          <w:bCs w:val="false"/>
          <w:i w:val="false"/>
          <w:iCs w:val="false"/>
          <w:color w:val="333333"/>
          <w:sz w:val="24"/>
          <w:szCs w:val="24"/>
        </w:rPr>
        <w:t xml:space="preserve">In addition to the NDIS Commission, the following parties may need to be notified depending on the nature of the incident:</w:t>
      </w:r>
    </w:p>
    <w:p>
      <w:pPr>
        <w:pStyle w:val="ListParagraph"/>
        <w:numPr>
          <w:ilvl w:val="0"/>
          <w:numId w:val="3"/>
        </w:numPr>
        <w:spacing w:after="80"/>
      </w:pPr>
      <w:r>
        <w:rPr>
          <w:rFonts w:ascii="Arial" w:cs="Arial" w:eastAsia="Arial" w:hAnsi="Arial"/>
          <w:color w:val="333333"/>
          <w:sz w:val="24"/>
          <w:szCs w:val="24"/>
        </w:rPr>
        <w:t xml:space="preserve">Police (where a criminal offence is suspected)</w:t>
      </w:r>
    </w:p>
    <w:p>
      <w:pPr>
        <w:pStyle w:val="ListParagraph"/>
        <w:numPr>
          <w:ilvl w:val="0"/>
          <w:numId w:val="3"/>
        </w:numPr>
        <w:spacing w:after="80"/>
      </w:pPr>
      <w:r>
        <w:rPr>
          <w:rFonts w:ascii="Arial" w:cs="Arial" w:eastAsia="Arial" w:hAnsi="Arial"/>
          <w:color w:val="333333"/>
          <w:sz w:val="24"/>
          <w:szCs w:val="24"/>
        </w:rPr>
        <w:t xml:space="preserve">Ambulance or medical services (where medical attention is required)</w:t>
      </w:r>
    </w:p>
    <w:p>
      <w:pPr>
        <w:pStyle w:val="ListParagraph"/>
        <w:numPr>
          <w:ilvl w:val="0"/>
          <w:numId w:val="3"/>
        </w:numPr>
        <w:spacing w:after="80"/>
      </w:pPr>
      <w:r>
        <w:rPr>
          <w:rFonts w:ascii="Arial" w:cs="Arial" w:eastAsia="Arial" w:hAnsi="Arial"/>
          <w:color w:val="333333"/>
          <w:sz w:val="24"/>
          <w:szCs w:val="24"/>
        </w:rPr>
        <w:t xml:space="preserve">The participant’s family, guardian, or nominee (with participant consent where possible)</w:t>
      </w:r>
    </w:p>
    <w:p>
      <w:pPr>
        <w:pStyle w:val="ListParagraph"/>
        <w:numPr>
          <w:ilvl w:val="0"/>
          <w:numId w:val="3"/>
        </w:numPr>
        <w:spacing w:after="80"/>
      </w:pPr>
      <w:r>
        <w:rPr>
          <w:rFonts w:ascii="Arial" w:cs="Arial" w:eastAsia="Arial" w:hAnsi="Arial"/>
          <w:color w:val="333333"/>
          <w:sz w:val="24"/>
          <w:szCs w:val="24"/>
        </w:rPr>
        <w:t xml:space="preserve">WorkSafe / state or territory WHS regulator (where a work health and safety incident has occurred)</w:t>
      </w:r>
    </w:p>
    <w:p>
      <w:pPr>
        <w:pStyle w:val="ListParagraph"/>
        <w:numPr>
          <w:ilvl w:val="0"/>
          <w:numId w:val="3"/>
        </w:numPr>
        <w:spacing w:after="80"/>
      </w:pPr>
      <w:r>
        <w:rPr>
          <w:rFonts w:ascii="Arial" w:cs="Arial" w:eastAsia="Arial" w:hAnsi="Arial"/>
          <w:color w:val="333333"/>
          <w:sz w:val="24"/>
          <w:szCs w:val="24"/>
        </w:rPr>
        <w:t xml:space="preserve">The Coroner (in the event of a death)</w:t>
      </w:r>
    </w:p>
    <w:p>
      <w:pPr>
        <w:pStyle w:val="ListParagraph"/>
        <w:numPr>
          <w:ilvl w:val="0"/>
          <w:numId w:val="3"/>
        </w:numPr>
        <w:spacing w:after="80"/>
      </w:pPr>
      <w:r>
        <w:rPr>
          <w:rFonts w:ascii="Arial" w:cs="Arial" w:eastAsia="Arial" w:hAnsi="Arial"/>
          <w:color w:val="333333"/>
          <w:sz w:val="24"/>
          <w:szCs w:val="24"/>
        </w:rPr>
        <w:t xml:space="preserve">The participant’s support coordinator or plan manager (as appropriate)</w:t>
      </w:r>
    </w:p>
    <w:p>
      <w:pPr>
        <w:spacing w:after="120"/>
      </w:pPr>
    </w:p>
    <w:p>
      <w:pPr>
        <w:pStyle w:val="Heading1"/>
        <w:spacing w:after="180" w:before="360"/>
      </w:pPr>
      <w:r>
        <w:rPr>
          <w:rFonts w:ascii="Arial" w:cs="Arial" w:eastAsia="Arial" w:hAnsi="Arial"/>
        </w:rPr>
        <w:t xml:space="preserve">9. Record Keeping</w:t>
      </w:r>
    </w:p>
    <w:p>
      <w:pPr>
        <w:spacing w:after="120" w:before="0"/>
        <w:jc w:val="left"/>
      </w:pPr>
      <w:r>
        <w:rPr>
          <w:rFonts w:ascii="Arial" w:cs="Arial" w:eastAsia="Arial" w:hAnsi="Arial"/>
          <w:b w:val="false"/>
          <w:bCs w:val="false"/>
          <w:i w:val="false"/>
          <w:iCs w:val="false"/>
          <w:color w:val="333333"/>
          <w:sz w:val="24"/>
          <w:szCs w:val="24"/>
        </w:rPr>
        <w:t xml:space="preserve">All incident records must be:</w:t>
      </w:r>
    </w:p>
    <w:p>
      <w:pPr>
        <w:pStyle w:val="ListParagraph"/>
        <w:numPr>
          <w:ilvl w:val="0"/>
          <w:numId w:val="3"/>
        </w:numPr>
        <w:spacing w:after="80"/>
      </w:pPr>
      <w:r>
        <w:rPr>
          <w:rFonts w:ascii="Arial" w:cs="Arial" w:eastAsia="Arial" w:hAnsi="Arial"/>
          <w:color w:val="333333"/>
          <w:sz w:val="24"/>
          <w:szCs w:val="24"/>
        </w:rPr>
        <w:t xml:space="preserve">Stored securely and confidentially in accordance with the Privacy Act 1988 and Australian Privacy Principles</w:t>
      </w:r>
    </w:p>
    <w:p>
      <w:pPr>
        <w:pStyle w:val="ListParagraph"/>
        <w:numPr>
          <w:ilvl w:val="0"/>
          <w:numId w:val="3"/>
        </w:numPr>
        <w:spacing w:after="80"/>
      </w:pPr>
      <w:r>
        <w:rPr>
          <w:rFonts w:ascii="Arial" w:cs="Arial" w:eastAsia="Arial" w:hAnsi="Arial"/>
          <w:color w:val="333333"/>
          <w:sz w:val="24"/>
          <w:szCs w:val="24"/>
        </w:rPr>
        <w:t xml:space="preserve">Retained for a minimum of 7 years from the date of the incident (or until the participant turns 25 if they were a child at the time of the incident, whichever is later)</w:t>
      </w:r>
    </w:p>
    <w:p>
      <w:pPr>
        <w:pStyle w:val="ListParagraph"/>
        <w:numPr>
          <w:ilvl w:val="0"/>
          <w:numId w:val="3"/>
        </w:numPr>
        <w:spacing w:after="80"/>
      </w:pPr>
      <w:r>
        <w:rPr>
          <w:rFonts w:ascii="Arial" w:cs="Arial" w:eastAsia="Arial" w:hAnsi="Arial"/>
          <w:color w:val="333333"/>
          <w:sz w:val="24"/>
          <w:szCs w:val="24"/>
        </w:rPr>
        <w:t xml:space="preserve">Accessible to authorised personnel, including for audit purposes</w:t>
      </w:r>
    </w:p>
    <w:p>
      <w:pPr>
        <w:pStyle w:val="ListParagraph"/>
        <w:numPr>
          <w:ilvl w:val="0"/>
          <w:numId w:val="3"/>
        </w:numPr>
        <w:spacing w:after="80"/>
      </w:pPr>
      <w:r>
        <w:rPr>
          <w:rFonts w:ascii="Arial" w:cs="Arial" w:eastAsia="Arial" w:hAnsi="Arial"/>
          <w:color w:val="333333"/>
          <w:sz w:val="24"/>
          <w:szCs w:val="24"/>
        </w:rPr>
        <w:t xml:space="preserve">Made available to the NDIS Commission upon request</w:t>
      </w:r>
    </w:p>
    <w:p>
      <w:pPr>
        <w:spacing w:after="120"/>
      </w:pPr>
    </w:p>
    <w:p>
      <w:pPr>
        <w:pStyle w:val="Heading1"/>
        <w:spacing w:after="180" w:before="360"/>
      </w:pPr>
      <w:r>
        <w:rPr>
          <w:rFonts w:ascii="Arial" w:cs="Arial" w:eastAsia="Arial" w:hAnsi="Arial"/>
        </w:rPr>
        <w:t xml:space="preserve">10. Staff Training</w:t>
      </w:r>
    </w:p>
    <w:p>
      <w:pPr>
        <w:spacing w:after="120" w:before="0"/>
        <w:jc w:val="left"/>
      </w:pPr>
      <w:r>
        <w:rPr>
          <w:rFonts w:ascii="Arial" w:cs="Arial" w:eastAsia="Arial" w:hAnsi="Arial"/>
          <w:b w:val="false"/>
          <w:bCs w:val="false"/>
          <w:i w:val="false"/>
          <w:iCs w:val="false"/>
          <w:color w:val="333333"/>
          <w:sz w:val="24"/>
          <w:szCs w:val="24"/>
        </w:rPr>
        <w:t xml:space="preserve">All workers must receive training in this policy and the incident management procedure as part of their induction and at least annually thereafter. Training must cover:</w:t>
      </w:r>
    </w:p>
    <w:p>
      <w:pPr>
        <w:pStyle w:val="ListParagraph"/>
        <w:numPr>
          <w:ilvl w:val="0"/>
          <w:numId w:val="3"/>
        </w:numPr>
        <w:spacing w:after="80"/>
      </w:pPr>
      <w:r>
        <w:rPr>
          <w:rFonts w:ascii="Arial" w:cs="Arial" w:eastAsia="Arial" w:hAnsi="Arial"/>
          <w:color w:val="333333"/>
          <w:sz w:val="24"/>
          <w:szCs w:val="24"/>
        </w:rPr>
        <w:t xml:space="preserve">How to identify, respond to, and report incidents</w:t>
      </w:r>
    </w:p>
    <w:p>
      <w:pPr>
        <w:pStyle w:val="ListParagraph"/>
        <w:numPr>
          <w:ilvl w:val="0"/>
          <w:numId w:val="3"/>
        </w:numPr>
        <w:spacing w:after="80"/>
      </w:pPr>
      <w:r>
        <w:rPr>
          <w:rFonts w:ascii="Arial" w:cs="Arial" w:eastAsia="Arial" w:hAnsi="Arial"/>
          <w:color w:val="333333"/>
          <w:sz w:val="24"/>
          <w:szCs w:val="24"/>
        </w:rPr>
        <w:t xml:space="preserve">The categories of reportable incidents</w:t>
      </w:r>
    </w:p>
    <w:p>
      <w:pPr>
        <w:pStyle w:val="ListParagraph"/>
        <w:numPr>
          <w:ilvl w:val="0"/>
          <w:numId w:val="3"/>
        </w:numPr>
        <w:spacing w:after="80"/>
      </w:pPr>
      <w:r>
        <w:rPr>
          <w:rFonts w:ascii="Arial" w:cs="Arial" w:eastAsia="Arial" w:hAnsi="Arial"/>
          <w:color w:val="333333"/>
          <w:sz w:val="24"/>
          <w:szCs w:val="24"/>
        </w:rPr>
        <w:t xml:space="preserve">How to complete the Incident Report Form</w:t>
      </w:r>
    </w:p>
    <w:p>
      <w:pPr>
        <w:pStyle w:val="ListParagraph"/>
        <w:numPr>
          <w:ilvl w:val="0"/>
          <w:numId w:val="3"/>
        </w:numPr>
        <w:spacing w:after="80"/>
      </w:pPr>
      <w:r>
        <w:rPr>
          <w:rFonts w:ascii="Arial" w:cs="Arial" w:eastAsia="Arial" w:hAnsi="Arial"/>
          <w:color w:val="333333"/>
          <w:sz w:val="24"/>
          <w:szCs w:val="24"/>
        </w:rPr>
        <w:t xml:space="preserve">The obligation to report incidents promptly and honestly</w:t>
      </w:r>
    </w:p>
    <w:p>
      <w:pPr>
        <w:pStyle w:val="ListParagraph"/>
        <w:numPr>
          <w:ilvl w:val="0"/>
          <w:numId w:val="3"/>
        </w:numPr>
        <w:spacing w:after="80"/>
      </w:pPr>
      <w:r>
        <w:rPr>
          <w:rFonts w:ascii="Arial" w:cs="Arial" w:eastAsia="Arial" w:hAnsi="Arial"/>
          <w:color w:val="333333"/>
          <w:sz w:val="24"/>
          <w:szCs w:val="24"/>
        </w:rPr>
        <w:t xml:space="preserve">The protections available to workers who report incidents (whistleblower protections)</w:t>
      </w:r>
    </w:p>
    <w:p>
      <w:pPr>
        <w:pStyle w:val="ListParagraph"/>
        <w:numPr>
          <w:ilvl w:val="0"/>
          <w:numId w:val="3"/>
        </w:numPr>
        <w:spacing w:after="80"/>
      </w:pPr>
      <w:r>
        <w:rPr>
          <w:rFonts w:ascii="Arial" w:cs="Arial" w:eastAsia="Arial" w:hAnsi="Arial"/>
          <w:color w:val="333333"/>
          <w:sz w:val="24"/>
          <w:szCs w:val="24"/>
        </w:rPr>
        <w:t xml:space="preserve">How to support participants following an incident</w:t>
      </w:r>
    </w:p>
    <w:p>
      <w:pPr>
        <w:spacing w:after="120"/>
      </w:pPr>
    </w:p>
    <w:p>
      <w:pPr>
        <w:pStyle w:val="Heading1"/>
        <w:spacing w:after="180" w:before="360"/>
      </w:pPr>
      <w:r>
        <w:rPr>
          <w:rFonts w:ascii="Arial" w:cs="Arial" w:eastAsia="Arial" w:hAnsi="Arial"/>
        </w:rPr>
        <w:t xml:space="preserve">11. Monitoring and Review</w:t>
      </w:r>
    </w:p>
    <w:p>
      <w:pPr>
        <w:spacing w:after="120" w:before="0"/>
        <w:jc w:val="left"/>
      </w:pPr>
      <w:r>
        <w:rPr>
          <w:rFonts w:ascii="Arial" w:cs="Arial" w:eastAsia="Arial" w:hAnsi="Arial"/>
          <w:b w:val="false"/>
          <w:bCs w:val="false"/>
          <w:i w:val="false"/>
          <w:iCs w:val="false"/>
          <w:color w:val="333333"/>
          <w:sz w:val="24"/>
          <w:szCs w:val="24"/>
        </w:rPr>
        <w:t xml:space="preserve">This policy will be reviewed at least annually, or sooner if required by changes to legislation, NDIS Practice Standards, or following a significant incident. The review will consider:</w:t>
      </w:r>
    </w:p>
    <w:p>
      <w:pPr>
        <w:pStyle w:val="ListParagraph"/>
        <w:numPr>
          <w:ilvl w:val="0"/>
          <w:numId w:val="3"/>
        </w:numPr>
        <w:spacing w:after="80"/>
      </w:pPr>
      <w:r>
        <w:rPr>
          <w:rFonts w:ascii="Arial" w:cs="Arial" w:eastAsia="Arial" w:hAnsi="Arial"/>
          <w:color w:val="333333"/>
          <w:sz w:val="24"/>
          <w:szCs w:val="24"/>
        </w:rPr>
        <w:t xml:space="preserve">Incident trends and patterns from the Incident Register</w:t>
      </w:r>
    </w:p>
    <w:p>
      <w:pPr>
        <w:pStyle w:val="ListParagraph"/>
        <w:numPr>
          <w:ilvl w:val="0"/>
          <w:numId w:val="3"/>
        </w:numPr>
        <w:spacing w:after="80"/>
      </w:pPr>
      <w:r>
        <w:rPr>
          <w:rFonts w:ascii="Arial" w:cs="Arial" w:eastAsia="Arial" w:hAnsi="Arial"/>
          <w:color w:val="333333"/>
          <w:sz w:val="24"/>
          <w:szCs w:val="24"/>
        </w:rPr>
        <w:t xml:space="preserve">Feedback from participants, workers, and external stakeholders</w:t>
      </w:r>
    </w:p>
    <w:p>
      <w:pPr>
        <w:pStyle w:val="ListParagraph"/>
        <w:numPr>
          <w:ilvl w:val="0"/>
          <w:numId w:val="3"/>
        </w:numPr>
        <w:spacing w:after="80"/>
      </w:pPr>
      <w:r>
        <w:rPr>
          <w:rFonts w:ascii="Arial" w:cs="Arial" w:eastAsia="Arial" w:hAnsi="Arial"/>
          <w:color w:val="333333"/>
          <w:sz w:val="24"/>
          <w:szCs w:val="24"/>
        </w:rPr>
        <w:t xml:space="preserve">Changes to the NDIS (Incident Management and Reportable Incidents) Rules</w:t>
      </w:r>
    </w:p>
    <w:p>
      <w:pPr>
        <w:pStyle w:val="ListParagraph"/>
        <w:numPr>
          <w:ilvl w:val="0"/>
          <w:numId w:val="3"/>
        </w:numPr>
        <w:spacing w:after="80"/>
      </w:pPr>
      <w:r>
        <w:rPr>
          <w:rFonts w:ascii="Arial" w:cs="Arial" w:eastAsia="Arial" w:hAnsi="Arial"/>
          <w:color w:val="333333"/>
          <w:sz w:val="24"/>
          <w:szCs w:val="24"/>
        </w:rPr>
        <w:t xml:space="preserve">Findings from internal and external audits</w:t>
      </w:r>
    </w:p>
    <w:p>
      <w:pPr>
        <w:pStyle w:val="ListParagraph"/>
        <w:numPr>
          <w:ilvl w:val="0"/>
          <w:numId w:val="3"/>
        </w:numPr>
        <w:spacing w:after="80"/>
      </w:pPr>
      <w:r>
        <w:rPr>
          <w:rFonts w:ascii="Arial" w:cs="Arial" w:eastAsia="Arial" w:hAnsi="Arial"/>
          <w:color w:val="333333"/>
          <w:sz w:val="24"/>
          <w:szCs w:val="24"/>
        </w:rPr>
        <w:t xml:space="preserve">The effectiveness of corrective actions implemented following incidents</w:t>
      </w:r>
    </w:p>
    <w:p>
      <w:pPr>
        <w:spacing w:after="120"/>
      </w:pPr>
    </w:p>
    <w:p>
      <w:pPr>
        <w:pStyle w:val="Heading1"/>
        <w:spacing w:after="180" w:before="360"/>
      </w:pPr>
      <w:r>
        <w:rPr>
          <w:rFonts w:ascii="Arial" w:cs="Arial" w:eastAsia="Arial" w:hAnsi="Arial"/>
        </w:rPr>
        <w:t xml:space="preserve">12. Related Documents</w:t>
      </w:r>
    </w:p>
    <w:p>
      <w:pPr>
        <w:pStyle w:val="ListParagraph"/>
        <w:numPr>
          <w:ilvl w:val="0"/>
          <w:numId w:val="3"/>
        </w:numPr>
        <w:spacing w:after="80"/>
      </w:pPr>
      <w:r>
        <w:rPr>
          <w:rFonts w:ascii="Arial" w:cs="Arial" w:eastAsia="Arial" w:hAnsi="Arial"/>
          <w:color w:val="333333"/>
          <w:sz w:val="24"/>
          <w:szCs w:val="24"/>
        </w:rPr>
        <w:t xml:space="preserve">Incident Report Form (FORM-INC-001)</w:t>
      </w:r>
    </w:p>
    <w:p>
      <w:pPr>
        <w:pStyle w:val="ListParagraph"/>
        <w:numPr>
          <w:ilvl w:val="0"/>
          <w:numId w:val="3"/>
        </w:numPr>
        <w:spacing w:after="80"/>
      </w:pPr>
      <w:r>
        <w:rPr>
          <w:rFonts w:ascii="Arial" w:cs="Arial" w:eastAsia="Arial" w:hAnsi="Arial"/>
          <w:color w:val="333333"/>
          <w:sz w:val="24"/>
          <w:szCs w:val="24"/>
        </w:rPr>
        <w:t xml:space="preserve">Incident Register (REG-INC-001)</w:t>
      </w:r>
    </w:p>
    <w:p>
      <w:pPr>
        <w:pStyle w:val="ListParagraph"/>
        <w:numPr>
          <w:ilvl w:val="0"/>
          <w:numId w:val="3"/>
        </w:numPr>
        <w:spacing w:after="80"/>
      </w:pPr>
      <w:r>
        <w:rPr>
          <w:rFonts w:ascii="Arial" w:cs="Arial" w:eastAsia="Arial" w:hAnsi="Arial"/>
          <w:color w:val="333333"/>
          <w:sz w:val="24"/>
          <w:szCs w:val="24"/>
        </w:rPr>
        <w:t xml:space="preserve">Restrictive Practices Register (REG-RP-001)</w:t>
      </w:r>
    </w:p>
    <w:p>
      <w:pPr>
        <w:pStyle w:val="ListParagraph"/>
        <w:numPr>
          <w:ilvl w:val="0"/>
          <w:numId w:val="3"/>
        </w:numPr>
        <w:spacing w:after="80"/>
      </w:pPr>
      <w:r>
        <w:rPr>
          <w:rFonts w:ascii="Arial" w:cs="Arial" w:eastAsia="Arial" w:hAnsi="Arial"/>
          <w:color w:val="333333"/>
          <w:sz w:val="24"/>
          <w:szCs w:val="24"/>
        </w:rPr>
        <w:t xml:space="preserve">Complaints and Feedback Policy (POL-CF-001)</w:t>
      </w:r>
    </w:p>
    <w:p>
      <w:pPr>
        <w:pStyle w:val="ListParagraph"/>
        <w:numPr>
          <w:ilvl w:val="0"/>
          <w:numId w:val="3"/>
        </w:numPr>
        <w:spacing w:after="80"/>
      </w:pPr>
      <w:r>
        <w:rPr>
          <w:rFonts w:ascii="Arial" w:cs="Arial" w:eastAsia="Arial" w:hAnsi="Arial"/>
          <w:color w:val="333333"/>
          <w:sz w:val="24"/>
          <w:szCs w:val="24"/>
        </w:rPr>
        <w:t xml:space="preserve">Safeguarding Policy (POL-SAFE-001)</w:t>
      </w:r>
    </w:p>
    <w:p>
      <w:pPr>
        <w:pStyle w:val="ListParagraph"/>
        <w:numPr>
          <w:ilvl w:val="0"/>
          <w:numId w:val="3"/>
        </w:numPr>
        <w:spacing w:after="80"/>
      </w:pPr>
      <w:r>
        <w:rPr>
          <w:rFonts w:ascii="Arial" w:cs="Arial" w:eastAsia="Arial" w:hAnsi="Arial"/>
          <w:color w:val="333333"/>
          <w:sz w:val="24"/>
          <w:szCs w:val="24"/>
        </w:rPr>
        <w:t xml:space="preserve">Risk Management Policy (POL-RISK-001)</w:t>
      </w:r>
    </w:p>
    <w:p>
      <w:pPr>
        <w:pStyle w:val="ListParagraph"/>
        <w:numPr>
          <w:ilvl w:val="0"/>
          <w:numId w:val="3"/>
        </w:numPr>
        <w:spacing w:after="80"/>
      </w:pPr>
      <w:r>
        <w:rPr>
          <w:rFonts w:ascii="Arial" w:cs="Arial" w:eastAsia="Arial" w:hAnsi="Arial"/>
          <w:color w:val="333333"/>
          <w:sz w:val="24"/>
          <w:szCs w:val="24"/>
        </w:rPr>
        <w:t xml:space="preserve">NDIS Code of Conduct</w:t>
      </w:r>
    </w:p>
    <w:p>
      <w:pPr>
        <w:pStyle w:val="ListParagraph"/>
        <w:numPr>
          <w:ilvl w:val="0"/>
          <w:numId w:val="3"/>
        </w:numPr>
        <w:spacing w:after="80"/>
      </w:pPr>
      <w:r>
        <w:rPr>
          <w:rFonts w:ascii="Arial" w:cs="Arial" w:eastAsia="Arial" w:hAnsi="Arial"/>
          <w:color w:val="333333"/>
          <w:sz w:val="24"/>
          <w:szCs w:val="24"/>
        </w:rPr>
        <w:t xml:space="preserve">NDIS (Incident Management and Reportable Incidents) Rules 2018</w:t>
      </w:r>
    </w:p>
    <w:p>
      <w:pPr>
        <w:spacing w:after="120"/>
      </w:pPr>
    </w:p>
    <w:p>
      <w:pPr>
        <w:pStyle w:val="Heading1"/>
        <w:spacing w:after="180" w:before="360"/>
      </w:pPr>
      <w:r>
        <w:rPr>
          <w:rFonts w:ascii="Arial" w:cs="Arial" w:eastAsia="Arial" w:hAnsi="Arial"/>
        </w:rPr>
        <w:t xml:space="preserve">13. Legislation and Standards</w:t>
      </w:r>
    </w:p>
    <w:p>
      <w:pPr>
        <w:pStyle w:val="ListParagraph"/>
        <w:numPr>
          <w:ilvl w:val="0"/>
          <w:numId w:val="3"/>
        </w:numPr>
        <w:spacing w:after="80"/>
      </w:pPr>
      <w:r>
        <w:rPr>
          <w:rFonts w:ascii="Arial" w:cs="Arial" w:eastAsia="Arial" w:hAnsi="Arial"/>
          <w:color w:val="333333"/>
          <w:sz w:val="24"/>
          <w:szCs w:val="24"/>
        </w:rPr>
        <w:t xml:space="preserve">National Disability Insurance Scheme Act 2013</w:t>
      </w:r>
    </w:p>
    <w:p>
      <w:pPr>
        <w:pStyle w:val="ListParagraph"/>
        <w:numPr>
          <w:ilvl w:val="0"/>
          <w:numId w:val="3"/>
        </w:numPr>
        <w:spacing w:after="80"/>
      </w:pPr>
      <w:r>
        <w:rPr>
          <w:rFonts w:ascii="Arial" w:cs="Arial" w:eastAsia="Arial" w:hAnsi="Arial"/>
          <w:color w:val="333333"/>
          <w:sz w:val="24"/>
          <w:szCs w:val="24"/>
        </w:rPr>
        <w:t xml:space="preserve">National Disability Insurance Scheme (Incident Management and Reportable Incidents) Rules 2018</w:t>
      </w:r>
    </w:p>
    <w:p>
      <w:pPr>
        <w:pStyle w:val="ListParagraph"/>
        <w:numPr>
          <w:ilvl w:val="0"/>
          <w:numId w:val="3"/>
        </w:numPr>
        <w:spacing w:after="80"/>
      </w:pPr>
      <w:r>
        <w:rPr>
          <w:rFonts w:ascii="Arial" w:cs="Arial" w:eastAsia="Arial" w:hAnsi="Arial"/>
          <w:color w:val="333333"/>
          <w:sz w:val="24"/>
          <w:szCs w:val="24"/>
        </w:rPr>
        <w:t xml:space="preserve">National Disability Insurance Scheme (Provider Registration and Practice Standards) Rules 2018</w:t>
      </w:r>
    </w:p>
    <w:p>
      <w:pPr>
        <w:pStyle w:val="ListParagraph"/>
        <w:numPr>
          <w:ilvl w:val="0"/>
          <w:numId w:val="3"/>
        </w:numPr>
        <w:spacing w:after="80"/>
      </w:pPr>
      <w:r>
        <w:rPr>
          <w:rFonts w:ascii="Arial" w:cs="Arial" w:eastAsia="Arial" w:hAnsi="Arial"/>
          <w:color w:val="333333"/>
          <w:sz w:val="24"/>
          <w:szCs w:val="24"/>
        </w:rPr>
        <w:t xml:space="preserve">NDIS Practice Standards and Quality Indicators (Core Module)</w:t>
      </w:r>
    </w:p>
    <w:p>
      <w:pPr>
        <w:pStyle w:val="ListParagraph"/>
        <w:numPr>
          <w:ilvl w:val="0"/>
          <w:numId w:val="3"/>
        </w:numPr>
        <w:spacing w:after="80"/>
      </w:pPr>
      <w:r>
        <w:rPr>
          <w:rFonts w:ascii="Arial" w:cs="Arial" w:eastAsia="Arial" w:hAnsi="Arial"/>
          <w:color w:val="333333"/>
          <w:sz w:val="24"/>
          <w:szCs w:val="24"/>
        </w:rPr>
        <w:t xml:space="preserve">NDIS Code of Conduct</w:t>
      </w:r>
    </w:p>
    <w:p>
      <w:pPr>
        <w:pStyle w:val="ListParagraph"/>
        <w:numPr>
          <w:ilvl w:val="0"/>
          <w:numId w:val="3"/>
        </w:numPr>
        <w:spacing w:after="80"/>
      </w:pPr>
      <w:r>
        <w:rPr>
          <w:rFonts w:ascii="Arial" w:cs="Arial" w:eastAsia="Arial" w:hAnsi="Arial"/>
          <w:color w:val="333333"/>
          <w:sz w:val="24"/>
          <w:szCs w:val="24"/>
        </w:rPr>
        <w:t xml:space="preserve">Privacy Act 1988 (Cth)</w:t>
      </w:r>
    </w:p>
    <w:p>
      <w:pPr>
        <w:pStyle w:val="ListParagraph"/>
        <w:numPr>
          <w:ilvl w:val="0"/>
          <w:numId w:val="3"/>
        </w:numPr>
        <w:spacing w:after="80"/>
      </w:pPr>
      <w:r>
        <w:rPr>
          <w:rFonts w:ascii="Arial" w:cs="Arial" w:eastAsia="Arial" w:hAnsi="Arial"/>
          <w:color w:val="333333"/>
          <w:sz w:val="24"/>
          <w:szCs w:val="24"/>
        </w:rPr>
        <w:t xml:space="preserve">Work Health and Safety Act 2011 (or equivalent state/territory legislation)</w:t>
      </w:r>
    </w:p>
    <w:p>
      <w:pPr>
        <w:spacing w:after="120"/>
      </w:pPr>
    </w:p>
    <w:p>
      <w:pPr>
        <w:pStyle w:val="Heading2"/>
        <w:spacing w:after="180" w:before="360"/>
      </w:pPr>
      <w:r>
        <w:rPr>
          <w:rFonts w:ascii="Arial" w:cs="Arial" w:eastAsia="Arial" w:hAnsi="Arial"/>
        </w:rPr>
        <w:t xml:space="preserve">Version History</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1000"/>
        <w:gridCol w:w="2000"/>
        <w:gridCol w:w="2000"/>
        <w:gridCol w:w="4026"/>
      </w:tblGrid>
      <w:tr>
        <w:tc>
          <w:tcPr>
            <w:tcW w:type="dxa" w:w="1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Version</w:t>
            </w:r>
          </w:p>
        </w:tc>
        <w:tc>
          <w:tcPr>
            <w:tcW w:type="dxa" w:w="2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Date</w:t>
            </w:r>
          </w:p>
        </w:tc>
        <w:tc>
          <w:tcPr>
            <w:tcW w:type="dxa" w:w="2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Author</w:t>
            </w:r>
          </w:p>
        </w:tc>
        <w:tc>
          <w:tcPr>
            <w:tcW w:type="dxa" w:w="4026"/>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Changes</w:t>
            </w:r>
          </w:p>
        </w:tc>
      </w:tr>
      <w:tr>
        <w:tc>
          <w:tcPr>
            <w:tcW w:type="dxa" w:w="1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1.0</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[INSERT DATE]</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[INSERT NAME]</w:t>
            </w:r>
          </w:p>
        </w:tc>
        <w:tc>
          <w:tcPr>
            <w:tcW w:type="dxa" w:w="4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Initial document creation</w:t>
            </w:r>
          </w:p>
        </w:tc>
      </w:tr>
      <w:tr>
        <w:tc>
          <w:tcPr>
            <w:tcW w:type="dxa" w:w="1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40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1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4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r>
    </w:tbl>
    <w:p>
      <w:pPr>
        <w:spacing w:after="120"/>
      </w:pPr>
    </w:p>
    <w:p>
      <w:pPr>
        <w:pStyle w:val="Heading1"/>
        <w:spacing w:after="180" w:before="360"/>
      </w:pPr>
      <w:r>
        <w:rPr>
          <w:rFonts w:ascii="Arial" w:cs="Arial" w:eastAsia="Arial" w:hAnsi="Arial"/>
        </w:rPr>
        <w:t xml:space="preserve">14. Acknowledgement</w:t>
      </w:r>
    </w:p>
    <w:p>
      <w:pPr>
        <w:spacing w:after="120" w:before="0"/>
        <w:jc w:val="left"/>
      </w:pPr>
      <w:r>
        <w:rPr>
          <w:rFonts w:ascii="Arial" w:cs="Arial" w:eastAsia="Arial" w:hAnsi="Arial"/>
          <w:b w:val="false"/>
          <w:bCs w:val="false"/>
          <w:i w:val="false"/>
          <w:iCs w:val="false"/>
          <w:color w:val="333333"/>
          <w:sz w:val="24"/>
          <w:szCs w:val="24"/>
        </w:rPr>
        <w:t xml:space="preserve">I confirm that I have read, understood, and agree to comply with this Incident Management Policy and Procedure.</w:t>
      </w:r>
    </w:p>
    <w:p>
      <w:pPr>
        <w:spacing w:after="120"/>
      </w:pP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500"/>
        <w:gridCol w:w="6526"/>
      </w:tblGrid>
      <w:tr>
        <w:tc>
          <w:tcPr>
            <w:tcW w:type="dxa" w:w="25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Field</w:t>
            </w:r>
          </w:p>
        </w:tc>
        <w:tc>
          <w:tcPr>
            <w:tcW w:type="dxa" w:w="6526"/>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Details</w:t>
            </w:r>
          </w:p>
        </w:tc>
      </w:tr>
      <w:tr>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Name:</w:t>
            </w:r>
          </w:p>
        </w:tc>
        <w:tc>
          <w:tcPr>
            <w:tcW w:type="dxa" w:w="65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25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Position:</w:t>
            </w:r>
          </w:p>
        </w:tc>
        <w:tc>
          <w:tcPr>
            <w:tcW w:type="dxa" w:w="65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Signature:</w:t>
            </w:r>
          </w:p>
        </w:tc>
        <w:tc>
          <w:tcPr>
            <w:tcW w:type="dxa" w:w="65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25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Date:</w:t>
            </w:r>
          </w:p>
        </w:tc>
        <w:tc>
          <w:tcPr>
            <w:tcW w:type="dxa" w:w="65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r>
    </w:tbl>
    <w:p>
      <w:pPr>
        <w:spacing w:after="120"/>
      </w:pPr>
    </w:p>
    <w:p>
      <w:pPr>
        <w:pBdr>
          <w:bottom w:val="single" w:color="0D9488" w:sz="3" w:space="1"/>
        </w:pBdr>
        <w:spacing w:after="200" w:before="200"/>
      </w:pPr>
    </w:p>
    <w:p>
      <w:pPr>
        <w:spacing w:after="120" w:before="0"/>
        <w:jc w:val="left"/>
      </w:pPr>
      <w:r>
        <w:rPr>
          <w:rFonts w:ascii="Arial" w:cs="Arial" w:eastAsia="Arial" w:hAnsi="Arial"/>
          <w:b w:val="false"/>
          <w:bCs w:val="false"/>
          <w:i/>
          <w:iCs/>
          <w:color w:val="666666"/>
          <w:sz w:val="18"/>
          <w:szCs w:val="18"/>
        </w:rPr>
        <w:t xml:space="preserve">CONFIDENTIAL — This document is the property of [YOUR ORGANISATION NAME]. Unauthorised reproduction or distribution is prohibited.</w:t>
      </w:r>
    </w:p>
    <w:p>
      <w:pPr>
        <w:spacing w:after="120" w:before="0"/>
        <w:jc w:val="left"/>
      </w:pPr>
      <w:r>
        <w:rPr>
          <w:rFonts w:ascii="Arial" w:cs="Arial" w:eastAsia="Arial" w:hAnsi="Arial"/>
          <w:b w:val="false"/>
          <w:bCs w:val="false"/>
          <w:i w:val="false"/>
          <w:iCs w:val="false"/>
          <w:color w:val="666666"/>
          <w:sz w:val="16"/>
          <w:szCs w:val="16"/>
        </w:rPr>
        <w:t xml:space="preserve">Document: Incident Management Policy and Procedure | Generated by NDISCompliant (ndiscompliant.com.au)</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AAAAAA"/>
        <w:sz w:val="16"/>
        <w:szCs w:val="16"/>
      </w:rPr>
      <w:t xml:space="preserve">Page </w:t>
    </w:r>
    <w:r>
      <w:rPr>
        <w:rFonts w:ascii="Arial" w:cs="Arial" w:eastAsia="Arial" w:hAnsi="Arial"/>
        <w:color w:val="AAAAAA"/>
        <w:sz w:val="16"/>
        <w:szCs w:val="16"/>
      </w:rPr>
      <w:fldChar w:fldCharType="begin"/>
      <w:instrText xml:space="preserve">PAGE</w:instrText>
      <w:fldChar w:fldCharType="separate"/>
      <w:fldChar w:fldCharType="end"/>
    </w:r>
    <w:r>
      <w:rPr>
        <w:rFonts w:ascii="Arial" w:cs="Arial" w:eastAsia="Arial" w:hAnsi="Arial"/>
        <w:color w:val="AAAAAA"/>
        <w:sz w:val="16"/>
        <w:szCs w:val="16"/>
      </w:rPr>
      <w:t xml:space="preserve"> | CONFIDENTIAL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i/>
        <w:iCs/>
        <w:color w:val="AAAAAA"/>
        <w:sz w:val="16"/>
        <w:szCs w:val="16"/>
      </w:rPr>
      <w:t xml:space="preserve">[YOUR ORGANISATION NAME] — NDIS Policy Document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bullet"/>
      <w:lvlText w:val="–"/>
      <w:lvlJc w:val="left"/>
      <w:pPr>
        <w:ind w:left="1080" w:hanging="360"/>
      </w:pPr>
    </w:lvl>
  </w:abstractNum>
  <w:abstractNum w:abstractNumId="5" w15:restartNumberingAfterBreak="0">
    <w:multiLevelType w:val="hybridMultilevel"/>
    <w:lvl w:ilvl="0" w15:tentative="1">
      <w:start w:val="1"/>
      <w:numFmt w:val="lowerLetter"/>
      <w:lvlText w:val="%1)"/>
      <w:lvlJc w:val="left"/>
      <w:pPr>
        <w:ind w:left="720" w:hanging="36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360"/>
      <w:outlineLvl w:val="0"/>
    </w:pPr>
    <w:rPr>
      <w:rFonts w:ascii="Arial" w:cs="Arial" w:eastAsia="Arial" w:hAnsi="Arial"/>
      <w:b/>
      <w:bCs/>
      <w:color w:val="1B2A4A"/>
      <w:sz w:val="32"/>
      <w:szCs w:val="32"/>
    </w:rPr>
  </w:style>
  <w:style w:type="paragraph" w:styleId="Heading2">
    <w:name w:val="Heading 2"/>
    <w:basedOn w:val="Normal"/>
    <w:next w:val="Normal"/>
    <w:qFormat/>
    <w:pPr>
      <w:spacing w:after="180" w:before="280"/>
      <w:outlineLvl w:val="1"/>
    </w:pPr>
    <w:rPr>
      <w:rFonts w:ascii="Arial" w:cs="Arial" w:eastAsia="Arial" w:hAnsi="Arial"/>
      <w:b/>
      <w:bCs/>
      <w:color w:val="0D9488"/>
      <w:sz w:val="28"/>
      <w:szCs w:val="28"/>
    </w:rPr>
  </w:style>
  <w:style w:type="paragraph" w:styleId="Heading3">
    <w:name w:val="Heading 3"/>
    <w:basedOn w:val="Normal"/>
    <w:next w:val="Normal"/>
    <w:qFormat/>
    <w:pPr>
      <w:spacing w:after="120" w:before="200"/>
      <w:outlineLvl w:val="2"/>
    </w:pPr>
    <w:rPr>
      <w:rFonts w:ascii="Arial" w:cs="Arial" w:eastAsia="Arial" w:hAnsi="Arial"/>
      <w:b/>
      <w:bCs/>
      <w:color w:val="1B2A4A"/>
      <w:sz w:val="26"/>
      <w:szCs w:val="26"/>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2026-04-05T12:45:04.299Z</dcterms:created>
  <dcterms:modified xsi:type="dcterms:W3CDTF">2026-04-05T12:45:04.300Z</dcterms:modified>
</cp:coreProperties>
</file>

<file path=docProps/custom.xml><?xml version="1.0" encoding="utf-8"?>
<Properties xmlns="http://schemas.openxmlformats.org/officeDocument/2006/custom-properties" xmlns:vt="http://schemas.openxmlformats.org/officeDocument/2006/docPropsVTypes"/>
</file>