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Risk Management Policy and Framework</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POL-RISK-001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[Director / Risk Manager]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2.2: Risk Management</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risk management framework for [YOUR ORGANISATION NAME] to systematically identify, assess, treat, monitor, and review risks that may affect the safety and wellbeing of NDIS participants, workers, and the organisation’s operations. It ensures compliance with the NDIS Practice Standards Core Module requirements for risk management.</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 all operations, services, workers, contractors, and volunteers of [YOUR ORGANISATION NAME]. It covers:</w:t>
      </w:r>
    </w:p>
    <w:p>
      <w:pPr>
        <w:pStyle w:val="ListParagraph"/>
        <w:numPr>
          <w:ilvl w:val="0"/>
          <w:numId w:val="2"/>
        </w:numPr>
        <w:spacing w:after="80"/>
      </w:pPr>
      <w:r>
        <w:rPr>
          <w:rFonts w:ascii="Arial" w:cs="Arial" w:eastAsia="Arial" w:hAnsi="Arial"/>
          <w:color w:val="333333"/>
          <w:sz w:val="24"/>
          <w:szCs w:val="24"/>
        </w:rPr>
        <w:t xml:space="preserve">Operational risks (staffing, cash flow, service delivery, IT systems)</w:t>
      </w:r>
    </w:p>
    <w:p>
      <w:pPr>
        <w:pStyle w:val="ListParagraph"/>
        <w:numPr>
          <w:ilvl w:val="0"/>
          <w:numId w:val="2"/>
        </w:numPr>
        <w:spacing w:after="80"/>
      </w:pPr>
      <w:r>
        <w:rPr>
          <w:rFonts w:ascii="Arial" w:cs="Arial" w:eastAsia="Arial" w:hAnsi="Arial"/>
          <w:color w:val="333333"/>
          <w:sz w:val="24"/>
          <w:szCs w:val="24"/>
        </w:rPr>
        <w:t xml:space="preserve">Participant-specific risks (health, safety, wellbeing, complex needs)</w:t>
      </w:r>
    </w:p>
    <w:p>
      <w:pPr>
        <w:pStyle w:val="ListParagraph"/>
        <w:numPr>
          <w:ilvl w:val="0"/>
          <w:numId w:val="2"/>
        </w:numPr>
        <w:spacing w:after="80"/>
      </w:pPr>
      <w:r>
        <w:rPr>
          <w:rFonts w:ascii="Arial" w:cs="Arial" w:eastAsia="Arial" w:hAnsi="Arial"/>
          <w:color w:val="333333"/>
          <w:sz w:val="24"/>
          <w:szCs w:val="24"/>
        </w:rPr>
        <w:t xml:space="preserve">Compliance risks (regulatory, reputational, financial, legal)</w:t>
      </w:r>
    </w:p>
    <w:p>
      <w:pPr>
        <w:pStyle w:val="ListParagraph"/>
        <w:numPr>
          <w:ilvl w:val="0"/>
          <w:numId w:val="2"/>
        </w:numPr>
        <w:spacing w:after="80"/>
      </w:pPr>
      <w:r>
        <w:rPr>
          <w:rFonts w:ascii="Arial" w:cs="Arial" w:eastAsia="Arial" w:hAnsi="Arial"/>
          <w:color w:val="333333"/>
          <w:sz w:val="24"/>
          <w:szCs w:val="24"/>
        </w:rPr>
        <w:t xml:space="preserve">Environmental risks (natural disasters, pandemics, emergencies)</w:t>
      </w:r>
    </w:p>
    <w:p>
      <w:pPr>
        <w:pStyle w:val="ListParagraph"/>
        <w:numPr>
          <w:ilvl w:val="0"/>
          <w:numId w:val="2"/>
        </w:numPr>
        <w:spacing w:after="80"/>
      </w:pPr>
      <w:r>
        <w:rPr>
          <w:rFonts w:ascii="Arial" w:cs="Arial" w:eastAsia="Arial" w:hAnsi="Arial"/>
          <w:color w:val="333333"/>
          <w:sz w:val="24"/>
          <w:szCs w:val="24"/>
        </w:rPr>
        <w:t xml:space="preserve">Workplace health and safety risks</w:t>
      </w:r>
    </w:p>
    <w:p>
      <w:pPr>
        <w:spacing w:after="120"/>
      </w:pPr>
    </w:p>
    <w:p>
      <w:pPr>
        <w:pStyle w:val="Heading1"/>
        <w:spacing w:after="180" w:before="360"/>
      </w:pPr>
      <w:r>
        <w:rPr>
          <w:rFonts w:ascii="Arial" w:cs="Arial" w:eastAsia="Arial" w:hAnsi="Arial"/>
        </w:rPr>
        <w:t xml:space="preserve">3. Risk Management Process</w:t>
      </w:r>
    </w:p>
    <w:p>
      <w:pPr>
        <w:spacing w:after="120" w:before="0"/>
        <w:jc w:val="left"/>
      </w:pPr>
      <w:r>
        <w:rPr>
          <w:rFonts w:ascii="Arial" w:cs="Arial" w:eastAsia="Arial" w:hAnsi="Arial"/>
          <w:b w:val="false"/>
          <w:bCs w:val="false"/>
          <w:i w:val="false"/>
          <w:iCs w:val="false"/>
          <w:color w:val="333333"/>
          <w:sz w:val="24"/>
          <w:szCs w:val="24"/>
        </w:rPr>
        <w:t xml:space="preserve">The organisation follows a five-step risk management process aligned with AS/NZS ISO 31000:2018:</w:t>
      </w:r>
    </w:p>
    <w:p>
      <w:pPr>
        <w:spacing w:after="120"/>
      </w:pPr>
    </w:p>
    <w:p>
      <w:pPr>
        <w:pStyle w:val="Heading2"/>
        <w:spacing w:after="180" w:before="360"/>
      </w:pPr>
      <w:r>
        <w:rPr>
          <w:rFonts w:ascii="Arial" w:cs="Arial" w:eastAsia="Arial" w:hAnsi="Arial"/>
        </w:rPr>
        <w:t xml:space="preserve">3.1 Step 1: Identify Risks</w:t>
      </w:r>
    </w:p>
    <w:p>
      <w:pPr>
        <w:spacing w:after="120" w:before="0"/>
        <w:jc w:val="left"/>
      </w:pPr>
      <w:r>
        <w:rPr>
          <w:rFonts w:ascii="Arial" w:cs="Arial" w:eastAsia="Arial" w:hAnsi="Arial"/>
          <w:b w:val="false"/>
          <w:bCs w:val="false"/>
          <w:i w:val="false"/>
          <w:iCs w:val="false"/>
          <w:color w:val="333333"/>
          <w:sz w:val="24"/>
          <w:szCs w:val="24"/>
        </w:rPr>
        <w:t xml:space="preserve">Risks are identified through:</w:t>
      </w:r>
    </w:p>
    <w:p>
      <w:pPr>
        <w:pStyle w:val="ListParagraph"/>
        <w:numPr>
          <w:ilvl w:val="0"/>
          <w:numId w:val="2"/>
        </w:numPr>
        <w:spacing w:after="80"/>
      </w:pPr>
      <w:r>
        <w:rPr>
          <w:rFonts w:ascii="Arial" w:cs="Arial" w:eastAsia="Arial" w:hAnsi="Arial"/>
          <w:color w:val="333333"/>
          <w:sz w:val="24"/>
          <w:szCs w:val="24"/>
        </w:rPr>
        <w:t xml:space="preserve">Regular workplace inspections and safety audits</w:t>
      </w:r>
    </w:p>
    <w:p>
      <w:pPr>
        <w:pStyle w:val="ListParagraph"/>
        <w:numPr>
          <w:ilvl w:val="0"/>
          <w:numId w:val="2"/>
        </w:numPr>
        <w:spacing w:after="80"/>
      </w:pPr>
      <w:r>
        <w:rPr>
          <w:rFonts w:ascii="Arial" w:cs="Arial" w:eastAsia="Arial" w:hAnsi="Arial"/>
          <w:color w:val="333333"/>
          <w:sz w:val="24"/>
          <w:szCs w:val="24"/>
        </w:rPr>
        <w:t xml:space="preserve">Review of incident reports, complaints, and feedback</w:t>
      </w:r>
    </w:p>
    <w:p>
      <w:pPr>
        <w:pStyle w:val="ListParagraph"/>
        <w:numPr>
          <w:ilvl w:val="0"/>
          <w:numId w:val="2"/>
        </w:numPr>
        <w:spacing w:after="80"/>
      </w:pPr>
      <w:r>
        <w:rPr>
          <w:rFonts w:ascii="Arial" w:cs="Arial" w:eastAsia="Arial" w:hAnsi="Arial"/>
          <w:color w:val="333333"/>
          <w:sz w:val="24"/>
          <w:szCs w:val="24"/>
        </w:rPr>
        <w:t xml:space="preserve">Participant assessments and support planning</w:t>
      </w:r>
    </w:p>
    <w:p>
      <w:pPr>
        <w:pStyle w:val="ListParagraph"/>
        <w:numPr>
          <w:ilvl w:val="0"/>
          <w:numId w:val="2"/>
        </w:numPr>
        <w:spacing w:after="80"/>
      </w:pPr>
      <w:r>
        <w:rPr>
          <w:rFonts w:ascii="Arial" w:cs="Arial" w:eastAsia="Arial" w:hAnsi="Arial"/>
          <w:color w:val="333333"/>
          <w:sz w:val="24"/>
          <w:szCs w:val="24"/>
        </w:rPr>
        <w:t xml:space="preserve">Consultation with workers, participants, and stakeholders</w:t>
      </w:r>
    </w:p>
    <w:p>
      <w:pPr>
        <w:pStyle w:val="ListParagraph"/>
        <w:numPr>
          <w:ilvl w:val="0"/>
          <w:numId w:val="2"/>
        </w:numPr>
        <w:spacing w:after="80"/>
      </w:pPr>
      <w:r>
        <w:rPr>
          <w:rFonts w:ascii="Arial" w:cs="Arial" w:eastAsia="Arial" w:hAnsi="Arial"/>
          <w:color w:val="333333"/>
          <w:sz w:val="24"/>
          <w:szCs w:val="24"/>
        </w:rPr>
        <w:t xml:space="preserve">Review of legislative and regulatory changes</w:t>
      </w:r>
    </w:p>
    <w:p>
      <w:pPr>
        <w:pStyle w:val="ListParagraph"/>
        <w:numPr>
          <w:ilvl w:val="0"/>
          <w:numId w:val="2"/>
        </w:numPr>
        <w:spacing w:after="80"/>
      </w:pPr>
      <w:r>
        <w:rPr>
          <w:rFonts w:ascii="Arial" w:cs="Arial" w:eastAsia="Arial" w:hAnsi="Arial"/>
          <w:color w:val="333333"/>
          <w:sz w:val="24"/>
          <w:szCs w:val="24"/>
        </w:rPr>
        <w:t xml:space="preserve">Business continuity planning</w:t>
      </w:r>
    </w:p>
    <w:p>
      <w:pPr>
        <w:spacing w:after="120"/>
      </w:pPr>
    </w:p>
    <w:p>
      <w:pPr>
        <w:pStyle w:val="Heading2"/>
        <w:spacing w:after="180" w:before="360"/>
      </w:pPr>
      <w:r>
        <w:rPr>
          <w:rFonts w:ascii="Arial" w:cs="Arial" w:eastAsia="Arial" w:hAnsi="Arial"/>
        </w:rPr>
        <w:t xml:space="preserve">3.2 Step 2: Assess Risks</w:t>
      </w:r>
    </w:p>
    <w:p>
      <w:pPr>
        <w:spacing w:after="120" w:before="0"/>
        <w:jc w:val="left"/>
      </w:pPr>
      <w:r>
        <w:rPr>
          <w:rFonts w:ascii="Arial" w:cs="Arial" w:eastAsia="Arial" w:hAnsi="Arial"/>
          <w:b w:val="false"/>
          <w:bCs w:val="false"/>
          <w:i w:val="false"/>
          <w:iCs w:val="false"/>
          <w:color w:val="333333"/>
          <w:sz w:val="24"/>
          <w:szCs w:val="24"/>
        </w:rPr>
        <w:t xml:space="preserve">Each identified risk is assessed using the following matrix:</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800"/>
        <w:gridCol w:w="1445"/>
        <w:gridCol w:w="1445"/>
        <w:gridCol w:w="1445"/>
        <w:gridCol w:w="1445"/>
        <w:gridCol w:w="1446"/>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Likelihood / Consequence</w:t>
            </w:r>
          </w:p>
        </w:tc>
        <w:tc>
          <w:tcPr>
            <w:tcW w:type="dxa" w:w="1445"/>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Insignificant</w:t>
            </w:r>
          </w:p>
        </w:tc>
        <w:tc>
          <w:tcPr>
            <w:tcW w:type="dxa" w:w="1445"/>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Minor</w:t>
            </w:r>
          </w:p>
        </w:tc>
        <w:tc>
          <w:tcPr>
            <w:tcW w:type="dxa" w:w="1445"/>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Moderate</w:t>
            </w:r>
          </w:p>
        </w:tc>
        <w:tc>
          <w:tcPr>
            <w:tcW w:type="dxa" w:w="1445"/>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Major</w:t>
            </w:r>
          </w:p>
        </w:tc>
        <w:tc>
          <w:tcPr>
            <w:tcW w:type="dxa" w:w="144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Catastrophic</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Almost Certain</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High</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High</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Extreme</w:t>
            </w:r>
          </w:p>
        </w:tc>
        <w:tc>
          <w:tcPr>
            <w:tcW w:type="dxa" w:w="144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Extreme</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Likely</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High</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High</w:t>
            </w:r>
          </w:p>
        </w:tc>
        <w:tc>
          <w:tcPr>
            <w:tcW w:type="dxa" w:w="144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Extreme</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Possible</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High</w:t>
            </w:r>
          </w:p>
        </w:tc>
        <w:tc>
          <w:tcPr>
            <w:tcW w:type="dxa" w:w="144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High</w:t>
            </w:r>
          </w:p>
        </w:tc>
      </w:tr>
      <w:tr>
        <w:tc>
          <w:tcPr>
            <w:tcW w:type="dxa" w:w="18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Unlikely</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5"/>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High</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Rare</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Low</w:t>
            </w:r>
          </w:p>
        </w:tc>
        <w:tc>
          <w:tcPr>
            <w:tcW w:type="dxa" w:w="1445"/>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Medium</w:t>
            </w:r>
          </w:p>
        </w:tc>
        <w:tc>
          <w:tcPr>
            <w:tcW w:type="dxa" w:w="144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Medium</w:t>
            </w:r>
          </w:p>
        </w:tc>
      </w:tr>
    </w:tbl>
    <w:p>
      <w:pPr>
        <w:spacing w:after="120"/>
      </w:pPr>
    </w:p>
    <w:p>
      <w:pPr>
        <w:pStyle w:val="Heading2"/>
        <w:spacing w:after="180" w:before="360"/>
      </w:pPr>
      <w:r>
        <w:rPr>
          <w:rFonts w:ascii="Arial" w:cs="Arial" w:eastAsia="Arial" w:hAnsi="Arial"/>
        </w:rPr>
        <w:t xml:space="preserve">3.3 Step 3: Treat Risks</w:t>
      </w:r>
    </w:p>
    <w:p>
      <w:pPr>
        <w:spacing w:after="120" w:before="0"/>
        <w:jc w:val="left"/>
      </w:pPr>
      <w:r>
        <w:rPr>
          <w:rFonts w:ascii="Arial" w:cs="Arial" w:eastAsia="Arial" w:hAnsi="Arial"/>
          <w:b w:val="false"/>
          <w:bCs w:val="false"/>
          <w:i w:val="false"/>
          <w:iCs w:val="false"/>
          <w:color w:val="333333"/>
          <w:sz w:val="24"/>
          <w:szCs w:val="24"/>
        </w:rPr>
        <w:t xml:space="preserve">Risk treatment strategies include:</w:t>
      </w:r>
    </w:p>
    <w:p>
      <w:pPr>
        <w:pStyle w:val="ListParagraph"/>
        <w:numPr>
          <w:ilvl w:val="0"/>
          <w:numId w:val="2"/>
        </w:numPr>
        <w:spacing w:after="80"/>
      </w:pPr>
      <w:r>
        <w:rPr>
          <w:rFonts w:ascii="Arial" w:cs="Arial" w:eastAsia="Arial" w:hAnsi="Arial"/>
          <w:color w:val="333333"/>
          <w:sz w:val="24"/>
          <w:szCs w:val="24"/>
        </w:rPr>
        <w:t xml:space="preserve">Avoid — eliminate the activity or source of risk</w:t>
      </w:r>
    </w:p>
    <w:p>
      <w:pPr>
        <w:pStyle w:val="ListParagraph"/>
        <w:numPr>
          <w:ilvl w:val="0"/>
          <w:numId w:val="2"/>
        </w:numPr>
        <w:spacing w:after="80"/>
      </w:pPr>
      <w:r>
        <w:rPr>
          <w:rFonts w:ascii="Arial" w:cs="Arial" w:eastAsia="Arial" w:hAnsi="Arial"/>
          <w:color w:val="333333"/>
          <w:sz w:val="24"/>
          <w:szCs w:val="24"/>
        </w:rPr>
        <w:t xml:space="preserve">Reduce — implement controls to reduce the likelihood or consequence</w:t>
      </w:r>
    </w:p>
    <w:p>
      <w:pPr>
        <w:pStyle w:val="ListParagraph"/>
        <w:numPr>
          <w:ilvl w:val="0"/>
          <w:numId w:val="2"/>
        </w:numPr>
        <w:spacing w:after="80"/>
      </w:pPr>
      <w:r>
        <w:rPr>
          <w:rFonts w:ascii="Arial" w:cs="Arial" w:eastAsia="Arial" w:hAnsi="Arial"/>
          <w:color w:val="333333"/>
          <w:sz w:val="24"/>
          <w:szCs w:val="24"/>
        </w:rPr>
        <w:t xml:space="preserve">Transfer — share the risk through insurance, partnerships, or contractual arrangements</w:t>
      </w:r>
    </w:p>
    <w:p>
      <w:pPr>
        <w:pStyle w:val="ListParagraph"/>
        <w:numPr>
          <w:ilvl w:val="0"/>
          <w:numId w:val="2"/>
        </w:numPr>
        <w:spacing w:after="80"/>
      </w:pPr>
      <w:r>
        <w:rPr>
          <w:rFonts w:ascii="Arial" w:cs="Arial" w:eastAsia="Arial" w:hAnsi="Arial"/>
          <w:color w:val="333333"/>
          <w:sz w:val="24"/>
          <w:szCs w:val="24"/>
        </w:rPr>
        <w:t xml:space="preserve">Accept — accept the risk where it falls within the organisation’s risk appetite and the cost of treatment outweighs the benefit</w:t>
      </w:r>
    </w:p>
    <w:p>
      <w:pPr>
        <w:spacing w:after="120"/>
      </w:pPr>
    </w:p>
    <w:p>
      <w:pPr>
        <w:pStyle w:val="Heading2"/>
        <w:spacing w:after="180" w:before="360"/>
      </w:pPr>
      <w:r>
        <w:rPr>
          <w:rFonts w:ascii="Arial" w:cs="Arial" w:eastAsia="Arial" w:hAnsi="Arial"/>
        </w:rPr>
        <w:t xml:space="preserve">3.4 Step 4: Monitor and Review</w:t>
      </w:r>
    </w:p>
    <w:p>
      <w:pPr>
        <w:spacing w:after="120" w:before="0"/>
        <w:jc w:val="left"/>
      </w:pPr>
      <w:r>
        <w:rPr>
          <w:rFonts w:ascii="Arial" w:cs="Arial" w:eastAsia="Arial" w:hAnsi="Arial"/>
          <w:b w:val="false"/>
          <w:bCs w:val="false"/>
          <w:i w:val="false"/>
          <w:iCs w:val="false"/>
          <w:color w:val="333333"/>
          <w:sz w:val="24"/>
          <w:szCs w:val="24"/>
        </w:rPr>
        <w:t xml:space="preserve">All risks in the Risk Register (REG-RISK-001) must be reviewed:</w:t>
      </w:r>
    </w:p>
    <w:p>
      <w:pPr>
        <w:pStyle w:val="ListParagraph"/>
        <w:numPr>
          <w:ilvl w:val="0"/>
          <w:numId w:val="2"/>
        </w:numPr>
        <w:spacing w:after="80"/>
      </w:pPr>
      <w:r>
        <w:rPr>
          <w:rFonts w:ascii="Arial" w:cs="Arial" w:eastAsia="Arial" w:hAnsi="Arial"/>
          <w:color w:val="333333"/>
          <w:sz w:val="24"/>
          <w:szCs w:val="24"/>
        </w:rPr>
        <w:t xml:space="preserve">Quarterly by the responsible person</w:t>
      </w:r>
    </w:p>
    <w:p>
      <w:pPr>
        <w:pStyle w:val="ListParagraph"/>
        <w:numPr>
          <w:ilvl w:val="0"/>
          <w:numId w:val="2"/>
        </w:numPr>
        <w:spacing w:after="80"/>
      </w:pPr>
      <w:r>
        <w:rPr>
          <w:rFonts w:ascii="Arial" w:cs="Arial" w:eastAsia="Arial" w:hAnsi="Arial"/>
          <w:color w:val="333333"/>
          <w:sz w:val="24"/>
          <w:szCs w:val="24"/>
        </w:rPr>
        <w:t xml:space="preserve">Annually as part of the organisation’s internal audit program</w:t>
      </w:r>
    </w:p>
    <w:p>
      <w:pPr>
        <w:pStyle w:val="ListParagraph"/>
        <w:numPr>
          <w:ilvl w:val="0"/>
          <w:numId w:val="2"/>
        </w:numPr>
        <w:spacing w:after="80"/>
      </w:pPr>
      <w:r>
        <w:rPr>
          <w:rFonts w:ascii="Arial" w:cs="Arial" w:eastAsia="Arial" w:hAnsi="Arial"/>
          <w:color w:val="333333"/>
          <w:sz w:val="24"/>
          <w:szCs w:val="24"/>
        </w:rPr>
        <w:t xml:space="preserve">Immediately following a significant incident, near miss, or material change in circumstances</w:t>
      </w:r>
    </w:p>
    <w:p>
      <w:pPr>
        <w:spacing w:after="120"/>
      </w:pPr>
    </w:p>
    <w:p>
      <w:pPr>
        <w:pStyle w:val="Heading2"/>
        <w:spacing w:after="180" w:before="360"/>
      </w:pPr>
      <w:r>
        <w:rPr>
          <w:rFonts w:ascii="Arial" w:cs="Arial" w:eastAsia="Arial" w:hAnsi="Arial"/>
        </w:rPr>
        <w:t xml:space="preserve">3.5 Step 5: Communicate and Consult</w:t>
      </w:r>
    </w:p>
    <w:p>
      <w:pPr>
        <w:spacing w:after="120" w:before="0"/>
        <w:jc w:val="left"/>
      </w:pPr>
      <w:r>
        <w:rPr>
          <w:rFonts w:ascii="Arial" w:cs="Arial" w:eastAsia="Arial" w:hAnsi="Arial"/>
          <w:b w:val="false"/>
          <w:bCs w:val="false"/>
          <w:i w:val="false"/>
          <w:iCs w:val="false"/>
          <w:color w:val="333333"/>
          <w:sz w:val="24"/>
          <w:szCs w:val="24"/>
        </w:rPr>
        <w:t xml:space="preserve">Risk management is a shared responsibility. The organisation will:</w:t>
      </w:r>
    </w:p>
    <w:p>
      <w:pPr>
        <w:pStyle w:val="ListParagraph"/>
        <w:numPr>
          <w:ilvl w:val="0"/>
          <w:numId w:val="2"/>
        </w:numPr>
        <w:spacing w:after="80"/>
      </w:pPr>
      <w:r>
        <w:rPr>
          <w:rFonts w:ascii="Arial" w:cs="Arial" w:eastAsia="Arial" w:hAnsi="Arial"/>
          <w:color w:val="333333"/>
          <w:sz w:val="24"/>
          <w:szCs w:val="24"/>
        </w:rPr>
        <w:t xml:space="preserve">Communicate risks and risk management strategies to all relevant workers</w:t>
      </w:r>
    </w:p>
    <w:p>
      <w:pPr>
        <w:pStyle w:val="ListParagraph"/>
        <w:numPr>
          <w:ilvl w:val="0"/>
          <w:numId w:val="2"/>
        </w:numPr>
        <w:spacing w:after="80"/>
      </w:pPr>
      <w:r>
        <w:rPr>
          <w:rFonts w:ascii="Arial" w:cs="Arial" w:eastAsia="Arial" w:hAnsi="Arial"/>
          <w:color w:val="333333"/>
          <w:sz w:val="24"/>
          <w:szCs w:val="24"/>
        </w:rPr>
        <w:t xml:space="preserve">Consult with workers on workplace health and safety risks</w:t>
      </w:r>
    </w:p>
    <w:p>
      <w:pPr>
        <w:pStyle w:val="ListParagraph"/>
        <w:numPr>
          <w:ilvl w:val="0"/>
          <w:numId w:val="2"/>
        </w:numPr>
        <w:spacing w:after="80"/>
      </w:pPr>
      <w:r>
        <w:rPr>
          <w:rFonts w:ascii="Arial" w:cs="Arial" w:eastAsia="Arial" w:hAnsi="Arial"/>
          <w:color w:val="333333"/>
          <w:sz w:val="24"/>
          <w:szCs w:val="24"/>
        </w:rPr>
        <w:t xml:space="preserve">Consult with participants (where appropriate) on risks to their safety and wellbeing</w:t>
      </w:r>
    </w:p>
    <w:p>
      <w:pPr>
        <w:pStyle w:val="ListParagraph"/>
        <w:numPr>
          <w:ilvl w:val="0"/>
          <w:numId w:val="2"/>
        </w:numPr>
        <w:spacing w:after="80"/>
      </w:pPr>
      <w:r>
        <w:rPr>
          <w:rFonts w:ascii="Arial" w:cs="Arial" w:eastAsia="Arial" w:hAnsi="Arial"/>
          <w:color w:val="333333"/>
          <w:sz w:val="24"/>
          <w:szCs w:val="24"/>
        </w:rPr>
        <w:t xml:space="preserve">Report risk management activities to governance/management meetings</w:t>
      </w:r>
    </w:p>
    <w:p>
      <w:pPr>
        <w:spacing w:after="120"/>
      </w:pPr>
    </w:p>
    <w:p>
      <w:pPr>
        <w:pStyle w:val="Heading1"/>
        <w:spacing w:after="180" w:before="360"/>
      </w:pPr>
      <w:r>
        <w:rPr>
          <w:rFonts w:ascii="Arial" w:cs="Arial" w:eastAsia="Arial" w:hAnsi="Arial"/>
        </w:rPr>
        <w:t xml:space="preserve">4. Participant-Specific Risk Management</w:t>
      </w:r>
    </w:p>
    <w:p>
      <w:pPr>
        <w:spacing w:after="120" w:before="0"/>
        <w:jc w:val="left"/>
      </w:pPr>
      <w:r>
        <w:rPr>
          <w:rFonts w:ascii="Arial" w:cs="Arial" w:eastAsia="Arial" w:hAnsi="Arial"/>
          <w:b w:val="false"/>
          <w:bCs w:val="false"/>
          <w:i w:val="false"/>
          <w:iCs w:val="false"/>
          <w:color w:val="333333"/>
          <w:sz w:val="24"/>
          <w:szCs w:val="24"/>
        </w:rPr>
        <w:t xml:space="preserve">For each participant, the organisation must:</w:t>
      </w:r>
    </w:p>
    <w:p>
      <w:pPr>
        <w:pStyle w:val="ListParagraph"/>
        <w:numPr>
          <w:ilvl w:val="0"/>
          <w:numId w:val="2"/>
        </w:numPr>
        <w:spacing w:after="80"/>
      </w:pPr>
      <w:r>
        <w:rPr>
          <w:rFonts w:ascii="Arial" w:cs="Arial" w:eastAsia="Arial" w:hAnsi="Arial"/>
          <w:color w:val="333333"/>
          <w:sz w:val="24"/>
          <w:szCs w:val="24"/>
        </w:rPr>
        <w:t xml:space="preserve">Conduct an individual risk assessment during intake and at each plan review</w:t>
      </w:r>
    </w:p>
    <w:p>
      <w:pPr>
        <w:pStyle w:val="ListParagraph"/>
        <w:numPr>
          <w:ilvl w:val="0"/>
          <w:numId w:val="2"/>
        </w:numPr>
        <w:spacing w:after="80"/>
      </w:pPr>
      <w:r>
        <w:rPr>
          <w:rFonts w:ascii="Arial" w:cs="Arial" w:eastAsia="Arial" w:hAnsi="Arial"/>
          <w:color w:val="333333"/>
          <w:sz w:val="24"/>
          <w:szCs w:val="24"/>
        </w:rPr>
        <w:t xml:space="preserve">Document participant-specific risks in their support plan (e.g., health risks, behavioural risks, environmental risks)</w:t>
      </w:r>
    </w:p>
    <w:p>
      <w:pPr>
        <w:pStyle w:val="ListParagraph"/>
        <w:numPr>
          <w:ilvl w:val="0"/>
          <w:numId w:val="2"/>
        </w:numPr>
        <w:spacing w:after="80"/>
      </w:pPr>
      <w:r>
        <w:rPr>
          <w:rFonts w:ascii="Arial" w:cs="Arial" w:eastAsia="Arial" w:hAnsi="Arial"/>
          <w:color w:val="333333"/>
          <w:sz w:val="24"/>
          <w:szCs w:val="24"/>
        </w:rPr>
        <w:t xml:space="preserve">Develop risk mitigation strategies for each identified risk</w:t>
      </w:r>
    </w:p>
    <w:p>
      <w:pPr>
        <w:pStyle w:val="ListParagraph"/>
        <w:numPr>
          <w:ilvl w:val="0"/>
          <w:numId w:val="2"/>
        </w:numPr>
        <w:spacing w:after="80"/>
      </w:pPr>
      <w:r>
        <w:rPr>
          <w:rFonts w:ascii="Arial" w:cs="Arial" w:eastAsia="Arial" w:hAnsi="Arial"/>
          <w:color w:val="333333"/>
          <w:sz w:val="24"/>
          <w:szCs w:val="24"/>
        </w:rPr>
        <w:t xml:space="preserve">Communicate risks to all workers supporting the participant</w:t>
      </w:r>
    </w:p>
    <w:p>
      <w:pPr>
        <w:pStyle w:val="ListParagraph"/>
        <w:numPr>
          <w:ilvl w:val="0"/>
          <w:numId w:val="2"/>
        </w:numPr>
        <w:spacing w:after="80"/>
      </w:pPr>
      <w:r>
        <w:rPr>
          <w:rFonts w:ascii="Arial" w:cs="Arial" w:eastAsia="Arial" w:hAnsi="Arial"/>
          <w:color w:val="333333"/>
          <w:sz w:val="24"/>
          <w:szCs w:val="24"/>
        </w:rPr>
        <w:t xml:space="preserve">Review participant risk assessments following any incident or change in circumstances</w:t>
      </w:r>
    </w:p>
    <w:p>
      <w:pPr>
        <w:spacing w:after="120"/>
      </w:pPr>
    </w:p>
    <w:p>
      <w:pPr>
        <w:pStyle w:val="Heading1"/>
        <w:spacing w:after="180" w:before="360"/>
      </w:pPr>
      <w:r>
        <w:rPr>
          <w:rFonts w:ascii="Arial" w:cs="Arial" w:eastAsia="Arial" w:hAnsi="Arial"/>
        </w:rPr>
        <w:t xml:space="preserve">5. SIL-Specific Risk Considerations</w:t>
      </w:r>
    </w:p>
    <w:p>
      <w:pPr>
        <w:spacing w:after="120" w:before="0"/>
        <w:jc w:val="left"/>
      </w:pPr>
      <w:r>
        <w:rPr>
          <w:rFonts w:ascii="Arial" w:cs="Arial" w:eastAsia="Arial" w:hAnsi="Arial"/>
          <w:b w:val="false"/>
          <w:bCs w:val="false"/>
          <w:i w:val="false"/>
          <w:iCs w:val="false"/>
          <w:color w:val="333333"/>
          <w:sz w:val="24"/>
          <w:szCs w:val="24"/>
        </w:rPr>
        <w:t xml:space="preserve">Supported Independent Living environments carry specific risks that must be actively managed:</w:t>
      </w:r>
    </w:p>
    <w:p>
      <w:pPr>
        <w:pStyle w:val="ListParagraph"/>
        <w:numPr>
          <w:ilvl w:val="0"/>
          <w:numId w:val="2"/>
        </w:numPr>
        <w:spacing w:after="80"/>
      </w:pPr>
      <w:r>
        <w:rPr>
          <w:rFonts w:ascii="Arial" w:cs="Arial" w:eastAsia="Arial" w:hAnsi="Arial"/>
          <w:color w:val="333333"/>
          <w:sz w:val="24"/>
          <w:szCs w:val="24"/>
        </w:rPr>
        <w:t xml:space="preserve">Fire safety and evacuation in shared accommodation</w:t>
      </w:r>
    </w:p>
    <w:p>
      <w:pPr>
        <w:pStyle w:val="ListParagraph"/>
        <w:numPr>
          <w:ilvl w:val="0"/>
          <w:numId w:val="2"/>
        </w:numPr>
        <w:spacing w:after="80"/>
      </w:pPr>
      <w:r>
        <w:rPr>
          <w:rFonts w:ascii="Arial" w:cs="Arial" w:eastAsia="Arial" w:hAnsi="Arial"/>
          <w:color w:val="333333"/>
          <w:sz w:val="24"/>
          <w:szCs w:val="24"/>
        </w:rPr>
        <w:t xml:space="preserve">Compatibility between residents in shared living arrangements</w:t>
      </w:r>
    </w:p>
    <w:p>
      <w:pPr>
        <w:pStyle w:val="ListParagraph"/>
        <w:numPr>
          <w:ilvl w:val="0"/>
          <w:numId w:val="2"/>
        </w:numPr>
        <w:spacing w:after="80"/>
      </w:pPr>
      <w:r>
        <w:rPr>
          <w:rFonts w:ascii="Arial" w:cs="Arial" w:eastAsia="Arial" w:hAnsi="Arial"/>
          <w:color w:val="333333"/>
          <w:sz w:val="24"/>
          <w:szCs w:val="24"/>
        </w:rPr>
        <w:t xml:space="preserve">Overnight and active night support risks</w:t>
      </w:r>
    </w:p>
    <w:p>
      <w:pPr>
        <w:pStyle w:val="ListParagraph"/>
        <w:numPr>
          <w:ilvl w:val="0"/>
          <w:numId w:val="2"/>
        </w:numPr>
        <w:spacing w:after="80"/>
      </w:pPr>
      <w:r>
        <w:rPr>
          <w:rFonts w:ascii="Arial" w:cs="Arial" w:eastAsia="Arial" w:hAnsi="Arial"/>
          <w:color w:val="333333"/>
          <w:sz w:val="24"/>
          <w:szCs w:val="24"/>
        </w:rPr>
        <w:t xml:space="preserve">Medication management and storage in shared environments</w:t>
      </w:r>
    </w:p>
    <w:p>
      <w:pPr>
        <w:pStyle w:val="ListParagraph"/>
        <w:numPr>
          <w:ilvl w:val="0"/>
          <w:numId w:val="2"/>
        </w:numPr>
        <w:spacing w:after="80"/>
      </w:pPr>
      <w:r>
        <w:rPr>
          <w:rFonts w:ascii="Arial" w:cs="Arial" w:eastAsia="Arial" w:hAnsi="Arial"/>
          <w:color w:val="333333"/>
          <w:sz w:val="24"/>
          <w:szCs w:val="24"/>
        </w:rPr>
        <w:t xml:space="preserve">Visitor access and security</w:t>
      </w:r>
    </w:p>
    <w:p>
      <w:pPr>
        <w:pStyle w:val="ListParagraph"/>
        <w:numPr>
          <w:ilvl w:val="0"/>
          <w:numId w:val="2"/>
        </w:numPr>
        <w:spacing w:after="80"/>
      </w:pPr>
      <w:r>
        <w:rPr>
          <w:rFonts w:ascii="Arial" w:cs="Arial" w:eastAsia="Arial" w:hAnsi="Arial"/>
          <w:color w:val="333333"/>
          <w:sz w:val="24"/>
          <w:szCs w:val="24"/>
        </w:rPr>
        <w:t xml:space="preserve">Kitchen and bathroom safety</w:t>
      </w:r>
    </w:p>
    <w:p>
      <w:pPr>
        <w:pStyle w:val="ListParagraph"/>
        <w:numPr>
          <w:ilvl w:val="0"/>
          <w:numId w:val="2"/>
        </w:numPr>
        <w:spacing w:after="80"/>
      </w:pPr>
      <w:r>
        <w:rPr>
          <w:rFonts w:ascii="Arial" w:cs="Arial" w:eastAsia="Arial" w:hAnsi="Arial"/>
          <w:color w:val="333333"/>
          <w:sz w:val="24"/>
          <w:szCs w:val="24"/>
        </w:rPr>
        <w:t xml:space="preserve">Restrictive practices and behaviour management</w:t>
      </w:r>
    </w:p>
    <w:p>
      <w:pPr>
        <w:pStyle w:val="ListParagraph"/>
        <w:numPr>
          <w:ilvl w:val="0"/>
          <w:numId w:val="2"/>
        </w:numPr>
        <w:spacing w:after="80"/>
      </w:pPr>
      <w:r>
        <w:rPr>
          <w:rFonts w:ascii="Arial" w:cs="Arial" w:eastAsia="Arial" w:hAnsi="Arial"/>
          <w:color w:val="333333"/>
          <w:sz w:val="24"/>
          <w:szCs w:val="24"/>
        </w:rPr>
        <w:t xml:space="preserve">Worker lone working and personal safety</w:t>
      </w:r>
    </w:p>
    <w:p>
      <w:pPr>
        <w:spacing w:after="120"/>
      </w:pPr>
    </w:p>
    <w:p>
      <w:pPr>
        <w:pStyle w:val="Heading1"/>
        <w:spacing w:after="180" w:before="360"/>
      </w:pPr>
      <w:r>
        <w:rPr>
          <w:rFonts w:ascii="Arial" w:cs="Arial" w:eastAsia="Arial" w:hAnsi="Arial"/>
        </w:rPr>
        <w:t xml:space="preserve">6. Emergency and Disaster Management</w:t>
      </w:r>
    </w:p>
    <w:p>
      <w:pPr>
        <w:spacing w:after="120" w:before="0"/>
        <w:jc w:val="left"/>
      </w:pPr>
      <w:r>
        <w:rPr>
          <w:rFonts w:ascii="Arial" w:cs="Arial" w:eastAsia="Arial" w:hAnsi="Arial"/>
          <w:b w:val="false"/>
          <w:bCs w:val="false"/>
          <w:i w:val="false"/>
          <w:iCs w:val="false"/>
          <w:color w:val="333333"/>
          <w:sz w:val="24"/>
          <w:szCs w:val="24"/>
        </w:rPr>
        <w:t xml:space="preserve">The organisation maintains an Emergency and Disaster Management Plan that addresses:</w:t>
      </w:r>
    </w:p>
    <w:p>
      <w:pPr>
        <w:pStyle w:val="ListParagraph"/>
        <w:numPr>
          <w:ilvl w:val="0"/>
          <w:numId w:val="2"/>
        </w:numPr>
        <w:spacing w:after="80"/>
      </w:pPr>
      <w:r>
        <w:rPr>
          <w:rFonts w:ascii="Arial" w:cs="Arial" w:eastAsia="Arial" w:hAnsi="Arial"/>
          <w:color w:val="333333"/>
          <w:sz w:val="24"/>
          <w:szCs w:val="24"/>
        </w:rPr>
        <w:t xml:space="preserve">Natural disasters (fire, flood, severe weather)</w:t>
      </w:r>
    </w:p>
    <w:p>
      <w:pPr>
        <w:pStyle w:val="ListParagraph"/>
        <w:numPr>
          <w:ilvl w:val="0"/>
          <w:numId w:val="2"/>
        </w:numPr>
        <w:spacing w:after="80"/>
      </w:pPr>
      <w:r>
        <w:rPr>
          <w:rFonts w:ascii="Arial" w:cs="Arial" w:eastAsia="Arial" w:hAnsi="Arial"/>
          <w:color w:val="333333"/>
          <w:sz w:val="24"/>
          <w:szCs w:val="24"/>
        </w:rPr>
        <w:t xml:space="preserve">Pandemic or infectious disease outbreaks</w:t>
      </w:r>
    </w:p>
    <w:p>
      <w:pPr>
        <w:pStyle w:val="ListParagraph"/>
        <w:numPr>
          <w:ilvl w:val="0"/>
          <w:numId w:val="2"/>
        </w:numPr>
        <w:spacing w:after="80"/>
      </w:pPr>
      <w:r>
        <w:rPr>
          <w:rFonts w:ascii="Arial" w:cs="Arial" w:eastAsia="Arial" w:hAnsi="Arial"/>
          <w:color w:val="333333"/>
          <w:sz w:val="24"/>
          <w:szCs w:val="24"/>
        </w:rPr>
        <w:t xml:space="preserve">Utility failures (power, water, telecommunications)</w:t>
      </w:r>
    </w:p>
    <w:p>
      <w:pPr>
        <w:pStyle w:val="ListParagraph"/>
        <w:numPr>
          <w:ilvl w:val="0"/>
          <w:numId w:val="2"/>
        </w:numPr>
        <w:spacing w:after="80"/>
      </w:pPr>
      <w:r>
        <w:rPr>
          <w:rFonts w:ascii="Arial" w:cs="Arial" w:eastAsia="Arial" w:hAnsi="Arial"/>
          <w:color w:val="333333"/>
          <w:sz w:val="24"/>
          <w:szCs w:val="24"/>
        </w:rPr>
        <w:t xml:space="preserve">Security incidents (intruder, violence)</w:t>
      </w:r>
    </w:p>
    <w:p>
      <w:pPr>
        <w:pStyle w:val="ListParagraph"/>
        <w:numPr>
          <w:ilvl w:val="0"/>
          <w:numId w:val="2"/>
        </w:numPr>
        <w:spacing w:after="80"/>
      </w:pPr>
      <w:r>
        <w:rPr>
          <w:rFonts w:ascii="Arial" w:cs="Arial" w:eastAsia="Arial" w:hAnsi="Arial"/>
          <w:color w:val="333333"/>
          <w:sz w:val="24"/>
          <w:szCs w:val="24"/>
        </w:rPr>
        <w:t xml:space="preserve">Staff shortages or industrial action</w:t>
      </w:r>
    </w:p>
    <w:p>
      <w:pPr>
        <w:spacing w:after="120" w:before="0"/>
        <w:jc w:val="left"/>
      </w:pPr>
      <w:r>
        <w:rPr>
          <w:rFonts w:ascii="Arial" w:cs="Arial" w:eastAsia="Arial" w:hAnsi="Arial"/>
          <w:b w:val="false"/>
          <w:bCs w:val="false"/>
          <w:i w:val="false"/>
          <w:iCs w:val="false"/>
          <w:color w:val="333333"/>
          <w:sz w:val="24"/>
          <w:szCs w:val="24"/>
        </w:rPr>
        <w:t xml:space="preserve">The Emergency Plan must be reviewed annually and practiced through drills or simulations at least annually for each SIL site.</w:t>
      </w:r>
    </w:p>
    <w:p>
      <w:pPr>
        <w:spacing w:after="120"/>
      </w:pPr>
    </w:p>
    <w:p>
      <w:pPr>
        <w:pStyle w:val="Heading1"/>
        <w:spacing w:after="180" w:before="360"/>
      </w:pPr>
      <w:r>
        <w:rPr>
          <w:rFonts w:ascii="Arial" w:cs="Arial" w:eastAsia="Arial" w:hAnsi="Arial"/>
        </w:rPr>
        <w:t xml:space="preserve">7. Related Documents</w:t>
      </w:r>
    </w:p>
    <w:p>
      <w:pPr>
        <w:pStyle w:val="ListParagraph"/>
        <w:numPr>
          <w:ilvl w:val="0"/>
          <w:numId w:val="2"/>
        </w:numPr>
        <w:spacing w:after="80"/>
      </w:pPr>
      <w:r>
        <w:rPr>
          <w:rFonts w:ascii="Arial" w:cs="Arial" w:eastAsia="Arial" w:hAnsi="Arial"/>
          <w:color w:val="333333"/>
          <w:sz w:val="24"/>
          <w:szCs w:val="24"/>
        </w:rPr>
        <w:t xml:space="preserve">Risk Register (REG-RISK-001)</w:t>
      </w:r>
    </w:p>
    <w:p>
      <w:pPr>
        <w:pStyle w:val="ListParagraph"/>
        <w:numPr>
          <w:ilvl w:val="0"/>
          <w:numId w:val="2"/>
        </w:numPr>
        <w:spacing w:after="80"/>
      </w:pPr>
      <w:r>
        <w:rPr>
          <w:rFonts w:ascii="Arial" w:cs="Arial" w:eastAsia="Arial" w:hAnsi="Arial"/>
          <w:color w:val="333333"/>
          <w:sz w:val="24"/>
          <w:szCs w:val="24"/>
        </w:rPr>
        <w:t xml:space="preserve">Risk Assessment Template (FORM-RISK-001)</w:t>
      </w:r>
    </w:p>
    <w:p>
      <w:pPr>
        <w:pStyle w:val="ListParagraph"/>
        <w:numPr>
          <w:ilvl w:val="0"/>
          <w:numId w:val="2"/>
        </w:numPr>
        <w:spacing w:after="80"/>
      </w:pPr>
      <w:r>
        <w:rPr>
          <w:rFonts w:ascii="Arial" w:cs="Arial" w:eastAsia="Arial" w:hAnsi="Arial"/>
          <w:color w:val="333333"/>
          <w:sz w:val="24"/>
          <w:szCs w:val="24"/>
        </w:rPr>
        <w:t xml:space="preserve">Emergency and Disaster Management Plan</w:t>
      </w:r>
    </w:p>
    <w:p>
      <w:pPr>
        <w:pStyle w:val="ListParagraph"/>
        <w:numPr>
          <w:ilvl w:val="0"/>
          <w:numId w:val="2"/>
        </w:numPr>
        <w:spacing w:after="80"/>
      </w:pPr>
      <w:r>
        <w:rPr>
          <w:rFonts w:ascii="Arial" w:cs="Arial" w:eastAsia="Arial" w:hAnsi="Arial"/>
          <w:color w:val="333333"/>
          <w:sz w:val="24"/>
          <w:szCs w:val="24"/>
        </w:rPr>
        <w:t xml:space="preserve">Business Continuity Plan</w:t>
      </w:r>
    </w:p>
    <w:p>
      <w:pPr>
        <w:pStyle w:val="ListParagraph"/>
        <w:numPr>
          <w:ilvl w:val="0"/>
          <w:numId w:val="2"/>
        </w:numPr>
        <w:spacing w:after="80"/>
      </w:pPr>
      <w:r>
        <w:rPr>
          <w:rFonts w:ascii="Arial" w:cs="Arial" w:eastAsia="Arial" w:hAnsi="Arial"/>
          <w:color w:val="333333"/>
          <w:sz w:val="24"/>
          <w:szCs w:val="24"/>
        </w:rPr>
        <w:t xml:space="preserve">Incident Management Policy (POL-INC-001)</w:t>
      </w:r>
    </w:p>
    <w:p>
      <w:pPr>
        <w:pStyle w:val="ListParagraph"/>
        <w:numPr>
          <w:ilvl w:val="0"/>
          <w:numId w:val="2"/>
        </w:numPr>
        <w:spacing w:after="80"/>
      </w:pPr>
      <w:r>
        <w:rPr>
          <w:rFonts w:ascii="Arial" w:cs="Arial" w:eastAsia="Arial" w:hAnsi="Arial"/>
          <w:color w:val="333333"/>
          <w:sz w:val="24"/>
          <w:szCs w:val="24"/>
        </w:rPr>
        <w:t xml:space="preserve">WHS Policy (POL-WHS-001)</w:t>
      </w:r>
    </w:p>
    <w:p>
      <w:pPr>
        <w:pStyle w:val="ListParagraph"/>
        <w:numPr>
          <w:ilvl w:val="0"/>
          <w:numId w:val="2"/>
        </w:numPr>
        <w:spacing w:after="80"/>
      </w:pPr>
      <w:r>
        <w:rPr>
          <w:rFonts w:ascii="Arial" w:cs="Arial" w:eastAsia="Arial" w:hAnsi="Arial"/>
          <w:color w:val="333333"/>
          <w:sz w:val="24"/>
          <w:szCs w:val="24"/>
        </w:rPr>
        <w:t xml:space="preserve">SIL House Safety Inspection Checklist (FORM-SIL-SAFETY-001)</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8.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Risk Management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Risk Management Policy and Framework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2026-04-05T12:45:04.698Z</dcterms:created>
  <dcterms:modified xsi:type="dcterms:W3CDTF">2026-04-05T12:45:04.698Z</dcterms:modified>
</cp:coreProperties>
</file>

<file path=docProps/custom.xml><?xml version="1.0" encoding="utf-8"?>
<Properties xmlns="http://schemas.openxmlformats.org/officeDocument/2006/custom-properties" xmlns:vt="http://schemas.openxmlformats.org/officeDocument/2006/docPropsVTypes"/>
</file>