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Privacy and Confidentiality Policy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POL-PRIV-001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[Privacy Officer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1.3: Privacy and Dignity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how [YOUR ORGANISATION NAME] collects, uses, stores, discloses, and disposes of personal and sensitive information in compliance with the Privacy Act 1988 (Cth), the Australian Privacy Principles (APPs), and the NDIS Practice Standards. It ensures the privacy and dignity of NDIS participants is respected and protected at all times.</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 all workers, contractors, volunteers, and management who handle personal information about NDIS participants, their families, carers, or support networks. It covers information in all forms: written, electronic, verbal, and visual (including photographs and video).</w:t>
      </w:r>
    </w:p>
    <w:p>
      <w:pPr>
        <w:spacing w:after="120"/>
      </w:pPr>
    </w:p>
    <w:p>
      <w:pPr>
        <w:pStyle w:val="Heading1"/>
        <w:spacing w:after="180" w:before="360"/>
      </w:pPr>
      <w:r>
        <w:rPr>
          <w:rFonts w:ascii="Arial" w:cs="Arial" w:eastAsia="Arial" w:hAnsi="Arial"/>
        </w:rPr>
        <w:t xml:space="preserve">3. Australian Privacy Principles</w:t>
      </w:r>
    </w:p>
    <w:p>
      <w:pPr>
        <w:spacing w:after="120" w:before="0"/>
        <w:jc w:val="left"/>
      </w:pPr>
      <w:r>
        <w:rPr>
          <w:rFonts w:ascii="Arial" w:cs="Arial" w:eastAsia="Arial" w:hAnsi="Arial"/>
          <w:b w:val="false"/>
          <w:bCs w:val="false"/>
          <w:i w:val="false"/>
          <w:iCs w:val="false"/>
          <w:color w:val="333333"/>
          <w:sz w:val="24"/>
          <w:szCs w:val="24"/>
        </w:rPr>
        <w:t xml:space="preserve">The organisation complies with the 13 Australian Privacy Principles (APPs) under the Privacy Act 1988:</w:t>
      </w:r>
    </w:p>
    <w:p>
      <w:pPr>
        <w:pStyle w:val="ListParagraph"/>
        <w:numPr>
          <w:ilvl w:val="0"/>
          <w:numId w:val="2"/>
        </w:numPr>
        <w:spacing w:after="80"/>
      </w:pPr>
      <w:r>
        <w:rPr>
          <w:rFonts w:ascii="Arial" w:cs="Arial" w:eastAsia="Arial" w:hAnsi="Arial"/>
          <w:color w:val="333333"/>
          <w:sz w:val="24"/>
          <w:szCs w:val="24"/>
        </w:rPr>
        <w:t xml:space="preserve">APP 1 — Open and transparent management of personal information</w:t>
      </w:r>
    </w:p>
    <w:p>
      <w:pPr>
        <w:pStyle w:val="ListParagraph"/>
        <w:numPr>
          <w:ilvl w:val="0"/>
          <w:numId w:val="2"/>
        </w:numPr>
        <w:spacing w:after="80"/>
      </w:pPr>
      <w:r>
        <w:rPr>
          <w:rFonts w:ascii="Arial" w:cs="Arial" w:eastAsia="Arial" w:hAnsi="Arial"/>
          <w:color w:val="333333"/>
          <w:sz w:val="24"/>
          <w:szCs w:val="24"/>
        </w:rPr>
        <w:t xml:space="preserve">APP 2 — Anonymity and pseudonymity</w:t>
      </w:r>
    </w:p>
    <w:p>
      <w:pPr>
        <w:pStyle w:val="ListParagraph"/>
        <w:numPr>
          <w:ilvl w:val="0"/>
          <w:numId w:val="2"/>
        </w:numPr>
        <w:spacing w:after="80"/>
      </w:pPr>
      <w:r>
        <w:rPr>
          <w:rFonts w:ascii="Arial" w:cs="Arial" w:eastAsia="Arial" w:hAnsi="Arial"/>
          <w:color w:val="333333"/>
          <w:sz w:val="24"/>
          <w:szCs w:val="24"/>
        </w:rPr>
        <w:t xml:space="preserve">APP 3 — Collection of solicited personal information</w:t>
      </w:r>
    </w:p>
    <w:p>
      <w:pPr>
        <w:pStyle w:val="ListParagraph"/>
        <w:numPr>
          <w:ilvl w:val="0"/>
          <w:numId w:val="2"/>
        </w:numPr>
        <w:spacing w:after="80"/>
      </w:pPr>
      <w:r>
        <w:rPr>
          <w:rFonts w:ascii="Arial" w:cs="Arial" w:eastAsia="Arial" w:hAnsi="Arial"/>
          <w:color w:val="333333"/>
          <w:sz w:val="24"/>
          <w:szCs w:val="24"/>
        </w:rPr>
        <w:t xml:space="preserve">APP 4 — Dealing with unsolicited personal information</w:t>
      </w:r>
    </w:p>
    <w:p>
      <w:pPr>
        <w:pStyle w:val="ListParagraph"/>
        <w:numPr>
          <w:ilvl w:val="0"/>
          <w:numId w:val="2"/>
        </w:numPr>
        <w:spacing w:after="80"/>
      </w:pPr>
      <w:r>
        <w:rPr>
          <w:rFonts w:ascii="Arial" w:cs="Arial" w:eastAsia="Arial" w:hAnsi="Arial"/>
          <w:color w:val="333333"/>
          <w:sz w:val="24"/>
          <w:szCs w:val="24"/>
        </w:rPr>
        <w:t xml:space="preserve">APP 5 — Notification of the collection of personal information</w:t>
      </w:r>
    </w:p>
    <w:p>
      <w:pPr>
        <w:pStyle w:val="ListParagraph"/>
        <w:numPr>
          <w:ilvl w:val="0"/>
          <w:numId w:val="2"/>
        </w:numPr>
        <w:spacing w:after="80"/>
      </w:pPr>
      <w:r>
        <w:rPr>
          <w:rFonts w:ascii="Arial" w:cs="Arial" w:eastAsia="Arial" w:hAnsi="Arial"/>
          <w:color w:val="333333"/>
          <w:sz w:val="24"/>
          <w:szCs w:val="24"/>
        </w:rPr>
        <w:t xml:space="preserve">APP 6 — Use or disclosure of personal information</w:t>
      </w:r>
    </w:p>
    <w:p>
      <w:pPr>
        <w:pStyle w:val="ListParagraph"/>
        <w:numPr>
          <w:ilvl w:val="0"/>
          <w:numId w:val="2"/>
        </w:numPr>
        <w:spacing w:after="80"/>
      </w:pPr>
      <w:r>
        <w:rPr>
          <w:rFonts w:ascii="Arial" w:cs="Arial" w:eastAsia="Arial" w:hAnsi="Arial"/>
          <w:color w:val="333333"/>
          <w:sz w:val="24"/>
          <w:szCs w:val="24"/>
        </w:rPr>
        <w:t xml:space="preserve">APP 7 — Direct marketing</w:t>
      </w:r>
    </w:p>
    <w:p>
      <w:pPr>
        <w:pStyle w:val="ListParagraph"/>
        <w:numPr>
          <w:ilvl w:val="0"/>
          <w:numId w:val="2"/>
        </w:numPr>
        <w:spacing w:after="80"/>
      </w:pPr>
      <w:r>
        <w:rPr>
          <w:rFonts w:ascii="Arial" w:cs="Arial" w:eastAsia="Arial" w:hAnsi="Arial"/>
          <w:color w:val="333333"/>
          <w:sz w:val="24"/>
          <w:szCs w:val="24"/>
        </w:rPr>
        <w:t xml:space="preserve">APP 8 — Cross-border disclosure of personal information</w:t>
      </w:r>
    </w:p>
    <w:p>
      <w:pPr>
        <w:pStyle w:val="ListParagraph"/>
        <w:numPr>
          <w:ilvl w:val="0"/>
          <w:numId w:val="2"/>
        </w:numPr>
        <w:spacing w:after="80"/>
      </w:pPr>
      <w:r>
        <w:rPr>
          <w:rFonts w:ascii="Arial" w:cs="Arial" w:eastAsia="Arial" w:hAnsi="Arial"/>
          <w:color w:val="333333"/>
          <w:sz w:val="24"/>
          <w:szCs w:val="24"/>
        </w:rPr>
        <w:t xml:space="preserve">APP 9 — Adoption, use or disclosure of government-related identifiers</w:t>
      </w:r>
    </w:p>
    <w:p>
      <w:pPr>
        <w:pStyle w:val="ListParagraph"/>
        <w:numPr>
          <w:ilvl w:val="0"/>
          <w:numId w:val="2"/>
        </w:numPr>
        <w:spacing w:after="80"/>
      </w:pPr>
      <w:r>
        <w:rPr>
          <w:rFonts w:ascii="Arial" w:cs="Arial" w:eastAsia="Arial" w:hAnsi="Arial"/>
          <w:color w:val="333333"/>
          <w:sz w:val="24"/>
          <w:szCs w:val="24"/>
        </w:rPr>
        <w:t xml:space="preserve">APP 10 — Quality of personal information</w:t>
      </w:r>
    </w:p>
    <w:p>
      <w:pPr>
        <w:pStyle w:val="ListParagraph"/>
        <w:numPr>
          <w:ilvl w:val="0"/>
          <w:numId w:val="2"/>
        </w:numPr>
        <w:spacing w:after="80"/>
      </w:pPr>
      <w:r>
        <w:rPr>
          <w:rFonts w:ascii="Arial" w:cs="Arial" w:eastAsia="Arial" w:hAnsi="Arial"/>
          <w:color w:val="333333"/>
          <w:sz w:val="24"/>
          <w:szCs w:val="24"/>
        </w:rPr>
        <w:t xml:space="preserve">APP 11 — Security of personal information</w:t>
      </w:r>
    </w:p>
    <w:p>
      <w:pPr>
        <w:pStyle w:val="ListParagraph"/>
        <w:numPr>
          <w:ilvl w:val="0"/>
          <w:numId w:val="2"/>
        </w:numPr>
        <w:spacing w:after="80"/>
      </w:pPr>
      <w:r>
        <w:rPr>
          <w:rFonts w:ascii="Arial" w:cs="Arial" w:eastAsia="Arial" w:hAnsi="Arial"/>
          <w:color w:val="333333"/>
          <w:sz w:val="24"/>
          <w:szCs w:val="24"/>
        </w:rPr>
        <w:t xml:space="preserve">APP 12 — Access to personal information</w:t>
      </w:r>
    </w:p>
    <w:p>
      <w:pPr>
        <w:pStyle w:val="ListParagraph"/>
        <w:numPr>
          <w:ilvl w:val="0"/>
          <w:numId w:val="2"/>
        </w:numPr>
        <w:spacing w:after="80"/>
      </w:pPr>
      <w:r>
        <w:rPr>
          <w:rFonts w:ascii="Arial" w:cs="Arial" w:eastAsia="Arial" w:hAnsi="Arial"/>
          <w:color w:val="333333"/>
          <w:sz w:val="24"/>
          <w:szCs w:val="24"/>
        </w:rPr>
        <w:t xml:space="preserve">APP 13 — Correction of personal information</w:t>
      </w:r>
    </w:p>
    <w:p>
      <w:pPr>
        <w:spacing w:after="120"/>
      </w:pPr>
    </w:p>
    <w:p>
      <w:pPr>
        <w:pStyle w:val="Heading1"/>
        <w:spacing w:after="180" w:before="360"/>
      </w:pPr>
      <w:r>
        <w:rPr>
          <w:rFonts w:ascii="Arial" w:cs="Arial" w:eastAsia="Arial" w:hAnsi="Arial"/>
        </w:rPr>
        <w:t xml:space="preserve">4. Collection of Personal Information</w:t>
      </w:r>
    </w:p>
    <w:p>
      <w:pPr>
        <w:spacing w:after="120" w:before="0"/>
        <w:jc w:val="left"/>
      </w:pPr>
      <w:r>
        <w:rPr>
          <w:rFonts w:ascii="Arial" w:cs="Arial" w:eastAsia="Arial" w:hAnsi="Arial"/>
          <w:b w:val="false"/>
          <w:bCs w:val="false"/>
          <w:i w:val="false"/>
          <w:iCs w:val="false"/>
          <w:color w:val="333333"/>
          <w:sz w:val="24"/>
          <w:szCs w:val="24"/>
        </w:rPr>
        <w:t xml:space="preserve">The organisation collects personal information only when it is reasonably necessary for the delivery of NDIS supports and services. Information is collected:</w:t>
      </w:r>
    </w:p>
    <w:p>
      <w:pPr>
        <w:pStyle w:val="ListParagraph"/>
        <w:numPr>
          <w:ilvl w:val="0"/>
          <w:numId w:val="3"/>
        </w:numPr>
        <w:spacing w:after="80"/>
      </w:pPr>
      <w:r>
        <w:rPr>
          <w:rFonts w:ascii="Arial" w:cs="Arial" w:eastAsia="Arial" w:hAnsi="Arial"/>
          <w:color w:val="333333"/>
          <w:sz w:val="24"/>
          <w:szCs w:val="24"/>
        </w:rPr>
        <w:t xml:space="preserve">Directly from the participant wherever possible</w:t>
      </w:r>
    </w:p>
    <w:p>
      <w:pPr>
        <w:pStyle w:val="ListParagraph"/>
        <w:numPr>
          <w:ilvl w:val="0"/>
          <w:numId w:val="3"/>
        </w:numPr>
        <w:spacing w:after="80"/>
      </w:pPr>
      <w:r>
        <w:rPr>
          <w:rFonts w:ascii="Arial" w:cs="Arial" w:eastAsia="Arial" w:hAnsi="Arial"/>
          <w:color w:val="333333"/>
          <w:sz w:val="24"/>
          <w:szCs w:val="24"/>
        </w:rPr>
        <w:t xml:space="preserve">From the participant’s support network, with the participant’s informed consent</w:t>
      </w:r>
    </w:p>
    <w:p>
      <w:pPr>
        <w:pStyle w:val="ListParagraph"/>
        <w:numPr>
          <w:ilvl w:val="0"/>
          <w:numId w:val="3"/>
        </w:numPr>
        <w:spacing w:after="80"/>
      </w:pPr>
      <w:r>
        <w:rPr>
          <w:rFonts w:ascii="Arial" w:cs="Arial" w:eastAsia="Arial" w:hAnsi="Arial"/>
          <w:color w:val="333333"/>
          <w:sz w:val="24"/>
          <w:szCs w:val="24"/>
        </w:rPr>
        <w:t xml:space="preserve">From the NDIS (participant plans, funding information)</w:t>
      </w:r>
    </w:p>
    <w:p>
      <w:pPr>
        <w:pStyle w:val="ListParagraph"/>
        <w:numPr>
          <w:ilvl w:val="0"/>
          <w:numId w:val="3"/>
        </w:numPr>
        <w:spacing w:after="80"/>
      </w:pPr>
      <w:r>
        <w:rPr>
          <w:rFonts w:ascii="Arial" w:cs="Arial" w:eastAsia="Arial" w:hAnsi="Arial"/>
          <w:color w:val="333333"/>
          <w:sz w:val="24"/>
          <w:szCs w:val="24"/>
        </w:rPr>
        <w:t xml:space="preserve">From other service providers (with consent, for continuity of supports)</w:t>
      </w:r>
    </w:p>
    <w:p>
      <w:pPr>
        <w:spacing w:after="120"/>
      </w:pPr>
    </w:p>
    <w:p>
      <w:pPr>
        <w:spacing w:after="120" w:before="0"/>
        <w:jc w:val="left"/>
      </w:pPr>
      <w:r>
        <w:rPr>
          <w:rFonts w:ascii="Arial" w:cs="Arial" w:eastAsia="Arial" w:hAnsi="Arial"/>
          <w:b w:val="false"/>
          <w:bCs w:val="false"/>
          <w:i w:val="false"/>
          <w:iCs w:val="false"/>
          <w:color w:val="333333"/>
          <w:sz w:val="24"/>
          <w:szCs w:val="24"/>
        </w:rPr>
        <w:t xml:space="preserve">Types of information collected may include:</w:t>
      </w:r>
    </w:p>
    <w:p>
      <w:pPr>
        <w:pStyle w:val="ListParagraph"/>
        <w:numPr>
          <w:ilvl w:val="0"/>
          <w:numId w:val="3"/>
        </w:numPr>
        <w:spacing w:after="80"/>
      </w:pPr>
      <w:r>
        <w:rPr>
          <w:rFonts w:ascii="Arial" w:cs="Arial" w:eastAsia="Arial" w:hAnsi="Arial"/>
          <w:color w:val="333333"/>
          <w:sz w:val="24"/>
          <w:szCs w:val="24"/>
        </w:rPr>
        <w:t xml:space="preserve">Name, address, date of birth, contact details</w:t>
      </w:r>
    </w:p>
    <w:p>
      <w:pPr>
        <w:pStyle w:val="ListParagraph"/>
        <w:numPr>
          <w:ilvl w:val="0"/>
          <w:numId w:val="3"/>
        </w:numPr>
        <w:spacing w:after="80"/>
      </w:pPr>
      <w:r>
        <w:rPr>
          <w:rFonts w:ascii="Arial" w:cs="Arial" w:eastAsia="Arial" w:hAnsi="Arial"/>
          <w:color w:val="333333"/>
          <w:sz w:val="24"/>
          <w:szCs w:val="24"/>
        </w:rPr>
        <w:t xml:space="preserve">NDIS participant number and plan details</w:t>
      </w:r>
    </w:p>
    <w:p>
      <w:pPr>
        <w:pStyle w:val="ListParagraph"/>
        <w:numPr>
          <w:ilvl w:val="0"/>
          <w:numId w:val="3"/>
        </w:numPr>
        <w:spacing w:after="80"/>
      </w:pPr>
      <w:r>
        <w:rPr>
          <w:rFonts w:ascii="Arial" w:cs="Arial" w:eastAsia="Arial" w:hAnsi="Arial"/>
          <w:color w:val="333333"/>
          <w:sz w:val="24"/>
          <w:szCs w:val="24"/>
        </w:rPr>
        <w:t xml:space="preserve">Disability, health, and medical information</w:t>
      </w:r>
    </w:p>
    <w:p>
      <w:pPr>
        <w:pStyle w:val="ListParagraph"/>
        <w:numPr>
          <w:ilvl w:val="0"/>
          <w:numId w:val="3"/>
        </w:numPr>
        <w:spacing w:after="80"/>
      </w:pPr>
      <w:r>
        <w:rPr>
          <w:rFonts w:ascii="Arial" w:cs="Arial" w:eastAsia="Arial" w:hAnsi="Arial"/>
          <w:color w:val="333333"/>
          <w:sz w:val="24"/>
          <w:szCs w:val="24"/>
        </w:rPr>
        <w:t xml:space="preserve">Support plans, goals, and progress notes</w:t>
      </w:r>
    </w:p>
    <w:p>
      <w:pPr>
        <w:pStyle w:val="ListParagraph"/>
        <w:numPr>
          <w:ilvl w:val="0"/>
          <w:numId w:val="3"/>
        </w:numPr>
        <w:spacing w:after="80"/>
      </w:pPr>
      <w:r>
        <w:rPr>
          <w:rFonts w:ascii="Arial" w:cs="Arial" w:eastAsia="Arial" w:hAnsi="Arial"/>
          <w:color w:val="333333"/>
          <w:sz w:val="24"/>
          <w:szCs w:val="24"/>
        </w:rPr>
        <w:t xml:space="preserve">Emergency contact information</w:t>
      </w:r>
    </w:p>
    <w:p>
      <w:pPr>
        <w:pStyle w:val="ListParagraph"/>
        <w:numPr>
          <w:ilvl w:val="0"/>
          <w:numId w:val="3"/>
        </w:numPr>
        <w:spacing w:after="80"/>
      </w:pPr>
      <w:r>
        <w:rPr>
          <w:rFonts w:ascii="Arial" w:cs="Arial" w:eastAsia="Arial" w:hAnsi="Arial"/>
          <w:color w:val="333333"/>
          <w:sz w:val="24"/>
          <w:szCs w:val="24"/>
        </w:rPr>
        <w:t xml:space="preserve">Cultural, linguistic, and religious preferences</w:t>
      </w:r>
    </w:p>
    <w:p>
      <w:pPr>
        <w:pStyle w:val="ListParagraph"/>
        <w:numPr>
          <w:ilvl w:val="0"/>
          <w:numId w:val="3"/>
        </w:numPr>
        <w:spacing w:after="80"/>
      </w:pPr>
      <w:r>
        <w:rPr>
          <w:rFonts w:ascii="Arial" w:cs="Arial" w:eastAsia="Arial" w:hAnsi="Arial"/>
          <w:color w:val="333333"/>
          <w:sz w:val="24"/>
          <w:szCs w:val="24"/>
        </w:rPr>
        <w:t xml:space="preserve">Financial information relevant to NDIS funding management</w:t>
      </w:r>
    </w:p>
    <w:p>
      <w:pPr>
        <w:spacing w:after="120"/>
      </w:pPr>
    </w:p>
    <w:p>
      <w:pPr>
        <w:pStyle w:val="Heading1"/>
        <w:spacing w:after="180" w:before="360"/>
      </w:pPr>
      <w:r>
        <w:rPr>
          <w:rFonts w:ascii="Arial" w:cs="Arial" w:eastAsia="Arial" w:hAnsi="Arial"/>
        </w:rPr>
        <w:t xml:space="preserve">5. Consent</w:t>
      </w:r>
    </w:p>
    <w:p>
      <w:pPr>
        <w:spacing w:after="120" w:before="0"/>
        <w:jc w:val="left"/>
      </w:pPr>
      <w:r>
        <w:rPr>
          <w:rFonts w:ascii="Arial" w:cs="Arial" w:eastAsia="Arial" w:hAnsi="Arial"/>
          <w:b w:val="false"/>
          <w:bCs w:val="false"/>
          <w:i w:val="false"/>
          <w:iCs w:val="false"/>
          <w:color w:val="333333"/>
          <w:sz w:val="24"/>
          <w:szCs w:val="24"/>
        </w:rPr>
        <w:t xml:space="preserve">Before collecting, using, or disclosing personal information, the organisation will:</w:t>
      </w:r>
    </w:p>
    <w:p>
      <w:pPr>
        <w:pStyle w:val="ListParagraph"/>
        <w:numPr>
          <w:ilvl w:val="0"/>
          <w:numId w:val="3"/>
        </w:numPr>
        <w:spacing w:after="80"/>
      </w:pPr>
      <w:r>
        <w:rPr>
          <w:rFonts w:ascii="Arial" w:cs="Arial" w:eastAsia="Arial" w:hAnsi="Arial"/>
          <w:color w:val="333333"/>
          <w:sz w:val="24"/>
          <w:szCs w:val="24"/>
        </w:rPr>
        <w:t xml:space="preserve">Inform the participant (in a format they understand) about what information is being collected, why, and how it will be used</w:t>
      </w:r>
    </w:p>
    <w:p>
      <w:pPr>
        <w:pStyle w:val="ListParagraph"/>
        <w:numPr>
          <w:ilvl w:val="0"/>
          <w:numId w:val="3"/>
        </w:numPr>
        <w:spacing w:after="80"/>
      </w:pPr>
      <w:r>
        <w:rPr>
          <w:rFonts w:ascii="Arial" w:cs="Arial" w:eastAsia="Arial" w:hAnsi="Arial"/>
          <w:color w:val="333333"/>
          <w:sz w:val="24"/>
          <w:szCs w:val="24"/>
        </w:rPr>
        <w:t xml:space="preserve">Obtain informed consent using the Consent to Collect Personal Information Form (FORM-CONSENT-001)</w:t>
      </w:r>
    </w:p>
    <w:p>
      <w:pPr>
        <w:pStyle w:val="ListParagraph"/>
        <w:numPr>
          <w:ilvl w:val="0"/>
          <w:numId w:val="3"/>
        </w:numPr>
        <w:spacing w:after="80"/>
      </w:pPr>
      <w:r>
        <w:rPr>
          <w:rFonts w:ascii="Arial" w:cs="Arial" w:eastAsia="Arial" w:hAnsi="Arial"/>
          <w:color w:val="333333"/>
          <w:sz w:val="24"/>
          <w:szCs w:val="24"/>
        </w:rPr>
        <w:t xml:space="preserve">Obtain separate consent for sharing information with third parties using the Consent to Share Information Form (FORM-SHARE-001)</w:t>
      </w:r>
    </w:p>
    <w:p>
      <w:pPr>
        <w:pStyle w:val="ListParagraph"/>
        <w:numPr>
          <w:ilvl w:val="0"/>
          <w:numId w:val="3"/>
        </w:numPr>
        <w:spacing w:after="80"/>
      </w:pPr>
      <w:r>
        <w:rPr>
          <w:rFonts w:ascii="Arial" w:cs="Arial" w:eastAsia="Arial" w:hAnsi="Arial"/>
          <w:color w:val="333333"/>
          <w:sz w:val="24"/>
          <w:szCs w:val="24"/>
        </w:rPr>
        <w:t xml:space="preserve">Respect the participant’s right to withdraw or modify consent at any time</w:t>
      </w:r>
    </w:p>
    <w:p>
      <w:pPr>
        <w:pStyle w:val="ListParagraph"/>
        <w:numPr>
          <w:ilvl w:val="0"/>
          <w:numId w:val="3"/>
        </w:numPr>
        <w:spacing w:after="80"/>
      </w:pPr>
      <w:r>
        <w:rPr>
          <w:rFonts w:ascii="Arial" w:cs="Arial" w:eastAsia="Arial" w:hAnsi="Arial"/>
          <w:color w:val="333333"/>
          <w:sz w:val="24"/>
          <w:szCs w:val="24"/>
        </w:rPr>
        <w:t xml:space="preserve">Document consent decisions and any changes</w:t>
      </w:r>
    </w:p>
    <w:p>
      <w:pPr>
        <w:spacing w:after="120"/>
      </w:pPr>
    </w:p>
    <w:p>
      <w:pPr>
        <w:pStyle w:val="Heading1"/>
        <w:spacing w:after="180" w:before="360"/>
      </w:pPr>
      <w:r>
        <w:rPr>
          <w:rFonts w:ascii="Arial" w:cs="Arial" w:eastAsia="Arial" w:hAnsi="Arial"/>
        </w:rPr>
        <w:t xml:space="preserve">6. Use and Disclosure</w:t>
      </w:r>
    </w:p>
    <w:p>
      <w:pPr>
        <w:spacing w:after="120" w:before="0"/>
        <w:jc w:val="left"/>
      </w:pPr>
      <w:r>
        <w:rPr>
          <w:rFonts w:ascii="Arial" w:cs="Arial" w:eastAsia="Arial" w:hAnsi="Arial"/>
          <w:b w:val="false"/>
          <w:bCs w:val="false"/>
          <w:i w:val="false"/>
          <w:iCs w:val="false"/>
          <w:color w:val="333333"/>
          <w:sz w:val="24"/>
          <w:szCs w:val="24"/>
        </w:rPr>
        <w:t xml:space="preserve">Personal information will only be used or disclosed for the primary purpose for which it was collected (delivery of NDIS supports), or:</w:t>
      </w:r>
    </w:p>
    <w:p>
      <w:pPr>
        <w:pStyle w:val="ListParagraph"/>
        <w:numPr>
          <w:ilvl w:val="0"/>
          <w:numId w:val="3"/>
        </w:numPr>
        <w:spacing w:after="80"/>
      </w:pPr>
      <w:r>
        <w:rPr>
          <w:rFonts w:ascii="Arial" w:cs="Arial" w:eastAsia="Arial" w:hAnsi="Arial"/>
          <w:color w:val="333333"/>
          <w:sz w:val="24"/>
          <w:szCs w:val="24"/>
        </w:rPr>
        <w:t xml:space="preserve">For a related secondary purpose that the participant would reasonably expect</w:t>
      </w:r>
    </w:p>
    <w:p>
      <w:pPr>
        <w:pStyle w:val="ListParagraph"/>
        <w:numPr>
          <w:ilvl w:val="0"/>
          <w:numId w:val="3"/>
        </w:numPr>
        <w:spacing w:after="80"/>
      </w:pPr>
      <w:r>
        <w:rPr>
          <w:rFonts w:ascii="Arial" w:cs="Arial" w:eastAsia="Arial" w:hAnsi="Arial"/>
          <w:color w:val="333333"/>
          <w:sz w:val="24"/>
          <w:szCs w:val="24"/>
        </w:rPr>
        <w:t xml:space="preserve">With the participant’s explicit consent</w:t>
      </w:r>
    </w:p>
    <w:p>
      <w:pPr>
        <w:pStyle w:val="ListParagraph"/>
        <w:numPr>
          <w:ilvl w:val="0"/>
          <w:numId w:val="3"/>
        </w:numPr>
        <w:spacing w:after="80"/>
      </w:pPr>
      <w:r>
        <w:rPr>
          <w:rFonts w:ascii="Arial" w:cs="Arial" w:eastAsia="Arial" w:hAnsi="Arial"/>
          <w:color w:val="333333"/>
          <w:sz w:val="24"/>
          <w:szCs w:val="24"/>
        </w:rPr>
        <w:t xml:space="preserve">As required or authorised by law (e.g., mandatory reporting, court orders, NDIS Commission requests)</w:t>
      </w:r>
    </w:p>
    <w:p>
      <w:pPr>
        <w:pStyle w:val="ListParagraph"/>
        <w:numPr>
          <w:ilvl w:val="0"/>
          <w:numId w:val="3"/>
        </w:numPr>
        <w:spacing w:after="80"/>
      </w:pPr>
      <w:r>
        <w:rPr>
          <w:rFonts w:ascii="Arial" w:cs="Arial" w:eastAsia="Arial" w:hAnsi="Arial"/>
          <w:color w:val="333333"/>
          <w:sz w:val="24"/>
          <w:szCs w:val="24"/>
        </w:rPr>
        <w:t xml:space="preserve">To prevent or lessen a serious threat to life, health, or safety</w:t>
      </w:r>
    </w:p>
    <w:p>
      <w:pPr>
        <w:spacing w:after="120"/>
      </w:pPr>
    </w:p>
    <w:p>
      <w:pPr>
        <w:pStyle w:val="Heading1"/>
        <w:spacing w:after="180" w:before="360"/>
      </w:pPr>
      <w:r>
        <w:rPr>
          <w:rFonts w:ascii="Arial" w:cs="Arial" w:eastAsia="Arial" w:hAnsi="Arial"/>
        </w:rPr>
        <w:t xml:space="preserve">7. Storage and Security</w:t>
      </w:r>
    </w:p>
    <w:p>
      <w:pPr>
        <w:spacing w:after="120" w:before="0"/>
        <w:jc w:val="left"/>
      </w:pPr>
      <w:r>
        <w:rPr>
          <w:rFonts w:ascii="Arial" w:cs="Arial" w:eastAsia="Arial" w:hAnsi="Arial"/>
          <w:b w:val="false"/>
          <w:bCs w:val="false"/>
          <w:i w:val="false"/>
          <w:iCs w:val="false"/>
          <w:color w:val="333333"/>
          <w:sz w:val="24"/>
          <w:szCs w:val="24"/>
        </w:rPr>
        <w:t xml:space="preserve">All personal information must be stored securely:</w:t>
      </w:r>
    </w:p>
    <w:p>
      <w:pPr>
        <w:pStyle w:val="ListParagraph"/>
        <w:numPr>
          <w:ilvl w:val="0"/>
          <w:numId w:val="3"/>
        </w:numPr>
        <w:spacing w:after="80"/>
      </w:pPr>
      <w:r>
        <w:rPr>
          <w:rFonts w:ascii="Arial" w:cs="Arial" w:eastAsia="Arial" w:hAnsi="Arial"/>
          <w:color w:val="333333"/>
          <w:sz w:val="24"/>
          <w:szCs w:val="24"/>
        </w:rPr>
        <w:t xml:space="preserve">Electronic records: encrypted, password-protected, stored on secure Australian-based servers with access controls</w:t>
      </w:r>
    </w:p>
    <w:p>
      <w:pPr>
        <w:pStyle w:val="ListParagraph"/>
        <w:numPr>
          <w:ilvl w:val="0"/>
          <w:numId w:val="3"/>
        </w:numPr>
        <w:spacing w:after="80"/>
      </w:pPr>
      <w:r>
        <w:rPr>
          <w:rFonts w:ascii="Arial" w:cs="Arial" w:eastAsia="Arial" w:hAnsi="Arial"/>
          <w:color w:val="333333"/>
          <w:sz w:val="24"/>
          <w:szCs w:val="24"/>
        </w:rPr>
        <w:t xml:space="preserve">Physical records: stored in locked cabinets with restricted access</w:t>
      </w:r>
    </w:p>
    <w:p>
      <w:pPr>
        <w:pStyle w:val="ListParagraph"/>
        <w:numPr>
          <w:ilvl w:val="0"/>
          <w:numId w:val="3"/>
        </w:numPr>
        <w:spacing w:after="80"/>
      </w:pPr>
      <w:r>
        <w:rPr>
          <w:rFonts w:ascii="Arial" w:cs="Arial" w:eastAsia="Arial" w:hAnsi="Arial"/>
          <w:color w:val="333333"/>
          <w:sz w:val="24"/>
          <w:szCs w:val="24"/>
        </w:rPr>
        <w:t xml:space="preserve">Access limited to authorised personnel on a need-to-know basis</w:t>
      </w:r>
    </w:p>
    <w:p>
      <w:pPr>
        <w:pStyle w:val="ListParagraph"/>
        <w:numPr>
          <w:ilvl w:val="0"/>
          <w:numId w:val="3"/>
        </w:numPr>
        <w:spacing w:after="80"/>
      </w:pPr>
      <w:r>
        <w:rPr>
          <w:rFonts w:ascii="Arial" w:cs="Arial" w:eastAsia="Arial" w:hAnsi="Arial"/>
          <w:color w:val="333333"/>
          <w:sz w:val="24"/>
          <w:szCs w:val="24"/>
        </w:rPr>
        <w:t xml:space="preserve">All data stored within Australia (data sovereignty requirement)</w:t>
      </w:r>
    </w:p>
    <w:p>
      <w:pPr>
        <w:pStyle w:val="ListParagraph"/>
        <w:numPr>
          <w:ilvl w:val="0"/>
          <w:numId w:val="3"/>
        </w:numPr>
        <w:spacing w:after="80"/>
      </w:pPr>
      <w:r>
        <w:rPr>
          <w:rFonts w:ascii="Arial" w:cs="Arial" w:eastAsia="Arial" w:hAnsi="Arial"/>
          <w:color w:val="333333"/>
          <w:sz w:val="24"/>
          <w:szCs w:val="24"/>
        </w:rPr>
        <w:t xml:space="preserve">Regular security audits and access reviews conducted</w:t>
      </w:r>
    </w:p>
    <w:p>
      <w:pPr>
        <w:spacing w:after="120"/>
      </w:pPr>
    </w:p>
    <w:p>
      <w:pPr>
        <w:pStyle w:val="Heading1"/>
        <w:spacing w:after="180" w:before="360"/>
      </w:pPr>
      <w:r>
        <w:rPr>
          <w:rFonts w:ascii="Arial" w:cs="Arial" w:eastAsia="Arial" w:hAnsi="Arial"/>
        </w:rPr>
        <w:t xml:space="preserve">8. Retention and Disposal</w:t>
      </w:r>
    </w:p>
    <w:p>
      <w:pPr>
        <w:spacing w:after="120" w:before="0"/>
        <w:jc w:val="left"/>
      </w:pPr>
      <w:r>
        <w:rPr>
          <w:rFonts w:ascii="Arial" w:cs="Arial" w:eastAsia="Arial" w:hAnsi="Arial"/>
          <w:b w:val="false"/>
          <w:bCs w:val="false"/>
          <w:i w:val="false"/>
          <w:iCs w:val="false"/>
          <w:color w:val="333333"/>
          <w:sz w:val="24"/>
          <w:szCs w:val="24"/>
        </w:rPr>
        <w:t xml:space="preserve">Personal information will be retained for:</w:t>
      </w:r>
    </w:p>
    <w:p>
      <w:pPr>
        <w:pStyle w:val="ListParagraph"/>
        <w:numPr>
          <w:ilvl w:val="0"/>
          <w:numId w:val="3"/>
        </w:numPr>
        <w:spacing w:after="80"/>
      </w:pPr>
      <w:r>
        <w:rPr>
          <w:rFonts w:ascii="Arial" w:cs="Arial" w:eastAsia="Arial" w:hAnsi="Arial"/>
          <w:color w:val="333333"/>
          <w:sz w:val="24"/>
          <w:szCs w:val="24"/>
        </w:rPr>
        <w:t xml:space="preserve">A minimum of 7 years from the last date of service delivery</w:t>
      </w:r>
    </w:p>
    <w:p>
      <w:pPr>
        <w:pStyle w:val="ListParagraph"/>
        <w:numPr>
          <w:ilvl w:val="0"/>
          <w:numId w:val="3"/>
        </w:numPr>
        <w:spacing w:after="80"/>
      </w:pPr>
      <w:r>
        <w:rPr>
          <w:rFonts w:ascii="Arial" w:cs="Arial" w:eastAsia="Arial" w:hAnsi="Arial"/>
          <w:color w:val="333333"/>
          <w:sz w:val="24"/>
          <w:szCs w:val="24"/>
        </w:rPr>
        <w:t xml:space="preserve">If the participant was a child, until 7 years after they turn 18 (or 25 years of age), whichever is later</w:t>
      </w:r>
    </w:p>
    <w:p>
      <w:pPr>
        <w:pStyle w:val="ListParagraph"/>
        <w:numPr>
          <w:ilvl w:val="0"/>
          <w:numId w:val="3"/>
        </w:numPr>
        <w:spacing w:after="80"/>
      </w:pPr>
      <w:r>
        <w:rPr>
          <w:rFonts w:ascii="Arial" w:cs="Arial" w:eastAsia="Arial" w:hAnsi="Arial"/>
          <w:color w:val="333333"/>
          <w:sz w:val="24"/>
          <w:szCs w:val="24"/>
        </w:rPr>
        <w:t xml:space="preserve">As otherwise required by law</w:t>
      </w:r>
    </w:p>
    <w:p>
      <w:pPr>
        <w:spacing w:after="120" w:before="0"/>
        <w:jc w:val="left"/>
      </w:pPr>
      <w:r>
        <w:rPr>
          <w:rFonts w:ascii="Arial" w:cs="Arial" w:eastAsia="Arial" w:hAnsi="Arial"/>
          <w:b w:val="false"/>
          <w:bCs w:val="false"/>
          <w:i w:val="false"/>
          <w:iCs w:val="false"/>
          <w:color w:val="333333"/>
          <w:sz w:val="24"/>
          <w:szCs w:val="24"/>
        </w:rPr>
        <w:t xml:space="preserve">When information is no longer required, it will be securely destroyed (shredding for physical records, secure deletion for electronic records).</w:t>
      </w:r>
    </w:p>
    <w:p>
      <w:pPr>
        <w:spacing w:after="120"/>
      </w:pPr>
    </w:p>
    <w:p>
      <w:pPr>
        <w:pStyle w:val="Heading1"/>
        <w:spacing w:after="180" w:before="360"/>
      </w:pPr>
      <w:r>
        <w:rPr>
          <w:rFonts w:ascii="Arial" w:cs="Arial" w:eastAsia="Arial" w:hAnsi="Arial"/>
        </w:rPr>
        <w:t xml:space="preserve">9. Access and Correction</w:t>
      </w:r>
    </w:p>
    <w:p>
      <w:pPr>
        <w:spacing w:after="120" w:before="0"/>
        <w:jc w:val="left"/>
      </w:pPr>
      <w:r>
        <w:rPr>
          <w:rFonts w:ascii="Arial" w:cs="Arial" w:eastAsia="Arial" w:hAnsi="Arial"/>
          <w:b w:val="false"/>
          <w:bCs w:val="false"/>
          <w:i w:val="false"/>
          <w:iCs w:val="false"/>
          <w:color w:val="333333"/>
          <w:sz w:val="24"/>
          <w:szCs w:val="24"/>
        </w:rPr>
        <w:t xml:space="preserve">Participants have the right to:</w:t>
      </w:r>
    </w:p>
    <w:p>
      <w:pPr>
        <w:pStyle w:val="ListParagraph"/>
        <w:numPr>
          <w:ilvl w:val="0"/>
          <w:numId w:val="3"/>
        </w:numPr>
        <w:spacing w:after="80"/>
      </w:pPr>
      <w:r>
        <w:rPr>
          <w:rFonts w:ascii="Arial" w:cs="Arial" w:eastAsia="Arial" w:hAnsi="Arial"/>
          <w:color w:val="333333"/>
          <w:sz w:val="24"/>
          <w:szCs w:val="24"/>
        </w:rPr>
        <w:t xml:space="preserve">Request access to their personal information held by the organisation</w:t>
      </w:r>
    </w:p>
    <w:p>
      <w:pPr>
        <w:pStyle w:val="ListParagraph"/>
        <w:numPr>
          <w:ilvl w:val="0"/>
          <w:numId w:val="3"/>
        </w:numPr>
        <w:spacing w:after="80"/>
      </w:pPr>
      <w:r>
        <w:rPr>
          <w:rFonts w:ascii="Arial" w:cs="Arial" w:eastAsia="Arial" w:hAnsi="Arial"/>
          <w:color w:val="333333"/>
          <w:sz w:val="24"/>
          <w:szCs w:val="24"/>
        </w:rPr>
        <w:t xml:space="preserve">Request correction of inaccurate, incomplete, or out-of-date information</w:t>
      </w:r>
    </w:p>
    <w:p>
      <w:pPr>
        <w:pStyle w:val="ListParagraph"/>
        <w:numPr>
          <w:ilvl w:val="0"/>
          <w:numId w:val="3"/>
        </w:numPr>
        <w:spacing w:after="80"/>
      </w:pPr>
      <w:r>
        <w:rPr>
          <w:rFonts w:ascii="Arial" w:cs="Arial" w:eastAsia="Arial" w:hAnsi="Arial"/>
          <w:color w:val="333333"/>
          <w:sz w:val="24"/>
          <w:szCs w:val="24"/>
        </w:rPr>
        <w:t xml:space="preserve">Receive a response to access or correction requests within 30 days</w:t>
      </w:r>
    </w:p>
    <w:p>
      <w:pPr>
        <w:spacing w:after="120"/>
      </w:pPr>
    </w:p>
    <w:p>
      <w:pPr>
        <w:pStyle w:val="Heading1"/>
        <w:spacing w:after="180" w:before="360"/>
      </w:pPr>
      <w:r>
        <w:rPr>
          <w:rFonts w:ascii="Arial" w:cs="Arial" w:eastAsia="Arial" w:hAnsi="Arial"/>
        </w:rPr>
        <w:t xml:space="preserve">10. Data Breach Response</w:t>
      </w:r>
    </w:p>
    <w:p>
      <w:pPr>
        <w:spacing w:after="120" w:before="0"/>
        <w:jc w:val="left"/>
      </w:pPr>
      <w:r>
        <w:rPr>
          <w:rFonts w:ascii="Arial" w:cs="Arial" w:eastAsia="Arial" w:hAnsi="Arial"/>
          <w:b w:val="false"/>
          <w:bCs w:val="false"/>
          <w:i w:val="false"/>
          <w:iCs w:val="false"/>
          <w:color w:val="333333"/>
          <w:sz w:val="24"/>
          <w:szCs w:val="24"/>
        </w:rPr>
        <w:t xml:space="preserve">In the event of a suspected or confirmed data breach:</w:t>
      </w:r>
    </w:p>
    <w:p>
      <w:pPr>
        <w:pStyle w:val="ListParagraph"/>
        <w:numPr>
          <w:ilvl w:val="0"/>
          <w:numId w:val="2"/>
        </w:numPr>
        <w:spacing w:after="80"/>
      </w:pPr>
      <w:r>
        <w:rPr>
          <w:rFonts w:ascii="Arial" w:cs="Arial" w:eastAsia="Arial" w:hAnsi="Arial"/>
          <w:color w:val="333333"/>
          <w:sz w:val="24"/>
          <w:szCs w:val="24"/>
        </w:rPr>
        <w:t xml:space="preserve">Immediately contain the breach and assess the risk of serious harm</w:t>
      </w:r>
    </w:p>
    <w:p>
      <w:pPr>
        <w:pStyle w:val="ListParagraph"/>
        <w:numPr>
          <w:ilvl w:val="0"/>
          <w:numId w:val="2"/>
        </w:numPr>
        <w:spacing w:after="80"/>
      </w:pPr>
      <w:r>
        <w:rPr>
          <w:rFonts w:ascii="Arial" w:cs="Arial" w:eastAsia="Arial" w:hAnsi="Arial"/>
          <w:color w:val="333333"/>
          <w:sz w:val="24"/>
          <w:szCs w:val="24"/>
        </w:rPr>
        <w:t xml:space="preserve">Notify the Director/Privacy Officer within 24 hours</w:t>
      </w:r>
    </w:p>
    <w:p>
      <w:pPr>
        <w:pStyle w:val="ListParagraph"/>
        <w:numPr>
          <w:ilvl w:val="0"/>
          <w:numId w:val="2"/>
        </w:numPr>
        <w:spacing w:after="80"/>
      </w:pPr>
      <w:r>
        <w:rPr>
          <w:rFonts w:ascii="Arial" w:cs="Arial" w:eastAsia="Arial" w:hAnsi="Arial"/>
          <w:color w:val="333333"/>
          <w:sz w:val="24"/>
          <w:szCs w:val="24"/>
        </w:rPr>
        <w:t xml:space="preserve">If the breach is likely to result in serious harm, notify the Office of the Australian Information Commissioner (OAIC) and affected individuals as required by the Notifiable Data Breaches scheme</w:t>
      </w:r>
    </w:p>
    <w:p>
      <w:pPr>
        <w:pStyle w:val="ListParagraph"/>
        <w:numPr>
          <w:ilvl w:val="0"/>
          <w:numId w:val="2"/>
        </w:numPr>
        <w:spacing w:after="80"/>
      </w:pPr>
      <w:r>
        <w:rPr>
          <w:rFonts w:ascii="Arial" w:cs="Arial" w:eastAsia="Arial" w:hAnsi="Arial"/>
          <w:color w:val="333333"/>
          <w:sz w:val="24"/>
          <w:szCs w:val="24"/>
        </w:rPr>
        <w:t xml:space="preserve">Document the breach and the response in the Data Breach Register</w:t>
      </w:r>
    </w:p>
    <w:p>
      <w:pPr>
        <w:pStyle w:val="ListParagraph"/>
        <w:numPr>
          <w:ilvl w:val="0"/>
          <w:numId w:val="2"/>
        </w:numPr>
        <w:spacing w:after="80"/>
      </w:pPr>
      <w:r>
        <w:rPr>
          <w:rFonts w:ascii="Arial" w:cs="Arial" w:eastAsia="Arial" w:hAnsi="Arial"/>
          <w:color w:val="333333"/>
          <w:sz w:val="24"/>
          <w:szCs w:val="24"/>
        </w:rPr>
        <w:t xml:space="preserve">Review and update security measures to prevent recurrence</w:t>
      </w:r>
    </w:p>
    <w:p>
      <w:pPr>
        <w:spacing w:after="120"/>
      </w:pPr>
    </w:p>
    <w:p>
      <w:pPr>
        <w:pStyle w:val="Heading1"/>
        <w:spacing w:after="180" w:before="360"/>
      </w:pPr>
      <w:r>
        <w:rPr>
          <w:rFonts w:ascii="Arial" w:cs="Arial" w:eastAsia="Arial" w:hAnsi="Arial"/>
        </w:rPr>
        <w:t xml:space="preserve">11. Photography, Video, and Social Media</w:t>
      </w:r>
    </w:p>
    <w:p>
      <w:pPr>
        <w:spacing w:after="120" w:before="0"/>
        <w:jc w:val="left"/>
      </w:pPr>
      <w:r>
        <w:rPr>
          <w:rFonts w:ascii="Arial" w:cs="Arial" w:eastAsia="Arial" w:hAnsi="Arial"/>
          <w:b w:val="false"/>
          <w:bCs w:val="false"/>
          <w:i w:val="false"/>
          <w:iCs w:val="false"/>
          <w:color w:val="333333"/>
          <w:sz w:val="24"/>
          <w:szCs w:val="24"/>
        </w:rPr>
        <w:t xml:space="preserve">The organisation will not photograph, video, or record participants without their explicit written consent. Participants (or their representatives) must consent to:</w:t>
      </w:r>
    </w:p>
    <w:p>
      <w:pPr>
        <w:pStyle w:val="ListParagraph"/>
        <w:numPr>
          <w:ilvl w:val="0"/>
          <w:numId w:val="3"/>
        </w:numPr>
        <w:spacing w:after="80"/>
      </w:pPr>
      <w:r>
        <w:rPr>
          <w:rFonts w:ascii="Arial" w:cs="Arial" w:eastAsia="Arial" w:hAnsi="Arial"/>
          <w:color w:val="333333"/>
          <w:sz w:val="24"/>
          <w:szCs w:val="24"/>
        </w:rPr>
        <w:t xml:space="preserve">The specific purpose of the recording</w:t>
      </w:r>
    </w:p>
    <w:p>
      <w:pPr>
        <w:pStyle w:val="ListParagraph"/>
        <w:numPr>
          <w:ilvl w:val="0"/>
          <w:numId w:val="3"/>
        </w:numPr>
        <w:spacing w:after="80"/>
      </w:pPr>
      <w:r>
        <w:rPr>
          <w:rFonts w:ascii="Arial" w:cs="Arial" w:eastAsia="Arial" w:hAnsi="Arial"/>
          <w:color w:val="333333"/>
          <w:sz w:val="24"/>
          <w:szCs w:val="24"/>
        </w:rPr>
        <w:t xml:space="preserve">Where and how the recording will be used or stored</w:t>
      </w:r>
    </w:p>
    <w:p>
      <w:pPr>
        <w:pStyle w:val="ListParagraph"/>
        <w:numPr>
          <w:ilvl w:val="0"/>
          <w:numId w:val="3"/>
        </w:numPr>
        <w:spacing w:after="80"/>
      </w:pPr>
      <w:r>
        <w:rPr>
          <w:rFonts w:ascii="Arial" w:cs="Arial" w:eastAsia="Arial" w:hAnsi="Arial"/>
          <w:color w:val="333333"/>
          <w:sz w:val="24"/>
          <w:szCs w:val="24"/>
        </w:rPr>
        <w:t xml:space="preserve">Their right to withdraw consent and have recordings deleted</w:t>
      </w:r>
    </w:p>
    <w:p>
      <w:pPr>
        <w:spacing w:after="120" w:before="0"/>
        <w:jc w:val="left"/>
      </w:pPr>
      <w:r>
        <w:rPr>
          <w:rFonts w:ascii="Arial" w:cs="Arial" w:eastAsia="Arial" w:hAnsi="Arial"/>
          <w:b w:val="false"/>
          <w:bCs w:val="false"/>
          <w:i w:val="false"/>
          <w:iCs w:val="false"/>
          <w:color w:val="333333"/>
          <w:sz w:val="24"/>
          <w:szCs w:val="24"/>
        </w:rPr>
        <w:t xml:space="preserve">Participant images or identifying information must never be shared on social media without explicit written consent.</w:t>
      </w:r>
    </w:p>
    <w:p>
      <w:pPr>
        <w:spacing w:after="120"/>
      </w:pPr>
    </w:p>
    <w:p>
      <w:pPr>
        <w:pStyle w:val="Heading1"/>
        <w:spacing w:after="180" w:before="360"/>
      </w:pPr>
      <w:r>
        <w:rPr>
          <w:rFonts w:ascii="Arial" w:cs="Arial" w:eastAsia="Arial" w:hAnsi="Arial"/>
        </w:rPr>
        <w:t xml:space="preserve">12. Worker Obligations</w:t>
      </w:r>
    </w:p>
    <w:p>
      <w:pPr>
        <w:spacing w:after="120" w:before="0"/>
        <w:jc w:val="left"/>
      </w:pPr>
      <w:r>
        <w:rPr>
          <w:rFonts w:ascii="Arial" w:cs="Arial" w:eastAsia="Arial" w:hAnsi="Arial"/>
          <w:b w:val="false"/>
          <w:bCs w:val="false"/>
          <w:i w:val="false"/>
          <w:iCs w:val="false"/>
          <w:color w:val="333333"/>
          <w:sz w:val="24"/>
          <w:szCs w:val="24"/>
        </w:rPr>
        <w:t xml:space="preserve">All workers must:</w:t>
      </w:r>
    </w:p>
    <w:p>
      <w:pPr>
        <w:pStyle w:val="ListParagraph"/>
        <w:numPr>
          <w:ilvl w:val="0"/>
          <w:numId w:val="3"/>
        </w:numPr>
        <w:spacing w:after="80"/>
      </w:pPr>
      <w:r>
        <w:rPr>
          <w:rFonts w:ascii="Arial" w:cs="Arial" w:eastAsia="Arial" w:hAnsi="Arial"/>
          <w:color w:val="333333"/>
          <w:sz w:val="24"/>
          <w:szCs w:val="24"/>
        </w:rPr>
        <w:t xml:space="preserve">Maintain confidentiality of all participant information at all times, including after their engagement with the organisation ends</w:t>
      </w:r>
    </w:p>
    <w:p>
      <w:pPr>
        <w:pStyle w:val="ListParagraph"/>
        <w:numPr>
          <w:ilvl w:val="0"/>
          <w:numId w:val="3"/>
        </w:numPr>
        <w:spacing w:after="80"/>
      </w:pPr>
      <w:r>
        <w:rPr>
          <w:rFonts w:ascii="Arial" w:cs="Arial" w:eastAsia="Arial" w:hAnsi="Arial"/>
          <w:color w:val="333333"/>
          <w:sz w:val="24"/>
          <w:szCs w:val="24"/>
        </w:rPr>
        <w:t xml:space="preserve">Not discuss participant information in public places or with unauthorised persons</w:t>
      </w:r>
    </w:p>
    <w:p>
      <w:pPr>
        <w:pStyle w:val="ListParagraph"/>
        <w:numPr>
          <w:ilvl w:val="0"/>
          <w:numId w:val="3"/>
        </w:numPr>
        <w:spacing w:after="80"/>
      </w:pPr>
      <w:r>
        <w:rPr>
          <w:rFonts w:ascii="Arial" w:cs="Arial" w:eastAsia="Arial" w:hAnsi="Arial"/>
          <w:color w:val="333333"/>
          <w:sz w:val="24"/>
          <w:szCs w:val="24"/>
        </w:rPr>
        <w:t xml:space="preserve">Not access participant information unless required for their role</w:t>
      </w:r>
    </w:p>
    <w:p>
      <w:pPr>
        <w:pStyle w:val="ListParagraph"/>
        <w:numPr>
          <w:ilvl w:val="0"/>
          <w:numId w:val="3"/>
        </w:numPr>
        <w:spacing w:after="80"/>
      </w:pPr>
      <w:r>
        <w:rPr>
          <w:rFonts w:ascii="Arial" w:cs="Arial" w:eastAsia="Arial" w:hAnsi="Arial"/>
          <w:color w:val="333333"/>
          <w:sz w:val="24"/>
          <w:szCs w:val="24"/>
        </w:rPr>
        <w:t xml:space="preserve">Report any suspected privacy breaches immediately to the Privacy Officer</w:t>
      </w:r>
    </w:p>
    <w:p>
      <w:pPr>
        <w:pStyle w:val="ListParagraph"/>
        <w:numPr>
          <w:ilvl w:val="0"/>
          <w:numId w:val="3"/>
        </w:numPr>
        <w:spacing w:after="80"/>
      </w:pPr>
      <w:r>
        <w:rPr>
          <w:rFonts w:ascii="Arial" w:cs="Arial" w:eastAsia="Arial" w:hAnsi="Arial"/>
          <w:color w:val="333333"/>
          <w:sz w:val="24"/>
          <w:szCs w:val="24"/>
        </w:rPr>
        <w:t xml:space="preserve">Sign a confidentiality agreement as part of their induction</w:t>
      </w:r>
    </w:p>
    <w:p>
      <w:pPr>
        <w:spacing w:after="120"/>
      </w:pPr>
    </w:p>
    <w:p>
      <w:pPr>
        <w:pStyle w:val="Heading1"/>
        <w:spacing w:after="180" w:before="360"/>
      </w:pPr>
      <w:r>
        <w:rPr>
          <w:rFonts w:ascii="Arial" w:cs="Arial" w:eastAsia="Arial" w:hAnsi="Arial"/>
        </w:rPr>
        <w:t xml:space="preserve">13. Related Documents</w:t>
      </w:r>
    </w:p>
    <w:p>
      <w:pPr>
        <w:pStyle w:val="ListParagraph"/>
        <w:numPr>
          <w:ilvl w:val="0"/>
          <w:numId w:val="3"/>
        </w:numPr>
        <w:spacing w:after="80"/>
      </w:pPr>
      <w:r>
        <w:rPr>
          <w:rFonts w:ascii="Arial" w:cs="Arial" w:eastAsia="Arial" w:hAnsi="Arial"/>
          <w:color w:val="333333"/>
          <w:sz w:val="24"/>
          <w:szCs w:val="24"/>
        </w:rPr>
        <w:t xml:space="preserve">Consent to Collect Personal Information Form (FORM-CONSENT-001)</w:t>
      </w:r>
    </w:p>
    <w:p>
      <w:pPr>
        <w:pStyle w:val="ListParagraph"/>
        <w:numPr>
          <w:ilvl w:val="0"/>
          <w:numId w:val="3"/>
        </w:numPr>
        <w:spacing w:after="80"/>
      </w:pPr>
      <w:r>
        <w:rPr>
          <w:rFonts w:ascii="Arial" w:cs="Arial" w:eastAsia="Arial" w:hAnsi="Arial"/>
          <w:color w:val="333333"/>
          <w:sz w:val="24"/>
          <w:szCs w:val="24"/>
        </w:rPr>
        <w:t xml:space="preserve">Consent to Share Information Form (FORM-SHARE-001)</w:t>
      </w:r>
    </w:p>
    <w:p>
      <w:pPr>
        <w:pStyle w:val="ListParagraph"/>
        <w:numPr>
          <w:ilvl w:val="0"/>
          <w:numId w:val="3"/>
        </w:numPr>
        <w:spacing w:after="80"/>
      </w:pPr>
      <w:r>
        <w:rPr>
          <w:rFonts w:ascii="Arial" w:cs="Arial" w:eastAsia="Arial" w:hAnsi="Arial"/>
          <w:color w:val="333333"/>
          <w:sz w:val="24"/>
          <w:szCs w:val="24"/>
        </w:rPr>
        <w:t xml:space="preserve">Privacy Notice — Participant-Facing (FORM-PRIV-NOTICE-001)</w:t>
      </w:r>
    </w:p>
    <w:p>
      <w:pPr>
        <w:pStyle w:val="ListParagraph"/>
        <w:numPr>
          <w:ilvl w:val="0"/>
          <w:numId w:val="3"/>
        </w:numPr>
        <w:spacing w:after="80"/>
      </w:pPr>
      <w:r>
        <w:rPr>
          <w:rFonts w:ascii="Arial" w:cs="Arial" w:eastAsia="Arial" w:hAnsi="Arial"/>
          <w:color w:val="333333"/>
          <w:sz w:val="24"/>
          <w:szCs w:val="24"/>
        </w:rPr>
        <w:t xml:space="preserve">Data Breach Response Plan (PLAN-DB-001)</w:t>
      </w:r>
    </w:p>
    <w:p>
      <w:pPr>
        <w:pStyle w:val="ListParagraph"/>
        <w:numPr>
          <w:ilvl w:val="0"/>
          <w:numId w:val="3"/>
        </w:numPr>
        <w:spacing w:after="80"/>
      </w:pPr>
      <w:r>
        <w:rPr>
          <w:rFonts w:ascii="Arial" w:cs="Arial" w:eastAsia="Arial" w:hAnsi="Arial"/>
          <w:color w:val="333333"/>
          <w:sz w:val="24"/>
          <w:szCs w:val="24"/>
        </w:rPr>
        <w:t xml:space="preserve">Confidentiality Agreement (FORM-CONF-001)</w:t>
      </w:r>
    </w:p>
    <w:p>
      <w:pPr>
        <w:pStyle w:val="ListParagraph"/>
        <w:numPr>
          <w:ilvl w:val="0"/>
          <w:numId w:val="3"/>
        </w:numPr>
        <w:spacing w:after="80"/>
      </w:pPr>
      <w:r>
        <w:rPr>
          <w:rFonts w:ascii="Arial" w:cs="Arial" w:eastAsia="Arial" w:hAnsi="Arial"/>
          <w:color w:val="333333"/>
          <w:sz w:val="24"/>
          <w:szCs w:val="24"/>
        </w:rPr>
        <w:t xml:space="preserve">Information Management Policy (POL-IM-001)</w:t>
      </w:r>
    </w:p>
    <w:p>
      <w:pPr>
        <w:spacing w:after="120"/>
      </w:pPr>
    </w:p>
    <w:p>
      <w:pPr>
        <w:pStyle w:val="Heading1"/>
        <w:spacing w:after="180" w:before="360"/>
      </w:pPr>
      <w:r>
        <w:rPr>
          <w:rFonts w:ascii="Arial" w:cs="Arial" w:eastAsia="Arial" w:hAnsi="Arial"/>
        </w:rPr>
        <w:t xml:space="preserve">14. Legislation</w:t>
      </w:r>
    </w:p>
    <w:p>
      <w:pPr>
        <w:pStyle w:val="ListParagraph"/>
        <w:numPr>
          <w:ilvl w:val="0"/>
          <w:numId w:val="3"/>
        </w:numPr>
        <w:spacing w:after="80"/>
      </w:pPr>
      <w:r>
        <w:rPr>
          <w:rFonts w:ascii="Arial" w:cs="Arial" w:eastAsia="Arial" w:hAnsi="Arial"/>
          <w:color w:val="333333"/>
          <w:sz w:val="24"/>
          <w:szCs w:val="24"/>
        </w:rPr>
        <w:t xml:space="preserve">Privacy Act 1988 (Cth) and Australian Privacy Principles</w:t>
      </w:r>
    </w:p>
    <w:p>
      <w:pPr>
        <w:pStyle w:val="ListParagraph"/>
        <w:numPr>
          <w:ilvl w:val="0"/>
          <w:numId w:val="3"/>
        </w:numPr>
        <w:spacing w:after="80"/>
      </w:pPr>
      <w:r>
        <w:rPr>
          <w:rFonts w:ascii="Arial" w:cs="Arial" w:eastAsia="Arial" w:hAnsi="Arial"/>
          <w:color w:val="333333"/>
          <w:sz w:val="24"/>
          <w:szCs w:val="24"/>
        </w:rPr>
        <w:t xml:space="preserve">Notifiable Data Breaches scheme (Part IIIC, Privacy Act 1988)</w:t>
      </w:r>
    </w:p>
    <w:p>
      <w:pPr>
        <w:pStyle w:val="ListParagraph"/>
        <w:numPr>
          <w:ilvl w:val="0"/>
          <w:numId w:val="3"/>
        </w:numPr>
        <w:spacing w:after="80"/>
      </w:pPr>
      <w:r>
        <w:rPr>
          <w:rFonts w:ascii="Arial" w:cs="Arial" w:eastAsia="Arial" w:hAnsi="Arial"/>
          <w:color w:val="333333"/>
          <w:sz w:val="24"/>
          <w:szCs w:val="24"/>
        </w:rPr>
        <w:t xml:space="preserve">NDIS Act 2013</w:t>
      </w:r>
    </w:p>
    <w:p>
      <w:pPr>
        <w:pStyle w:val="ListParagraph"/>
        <w:numPr>
          <w:ilvl w:val="0"/>
          <w:numId w:val="3"/>
        </w:numPr>
        <w:spacing w:after="80"/>
      </w:pPr>
      <w:r>
        <w:rPr>
          <w:rFonts w:ascii="Arial" w:cs="Arial" w:eastAsia="Arial" w:hAnsi="Arial"/>
          <w:color w:val="333333"/>
          <w:sz w:val="24"/>
          <w:szCs w:val="24"/>
        </w:rPr>
        <w:t xml:space="preserve">NDIS Practice Standards (Core Module)</w:t>
      </w:r>
    </w:p>
    <w:p>
      <w:pPr>
        <w:pStyle w:val="ListParagraph"/>
        <w:numPr>
          <w:ilvl w:val="0"/>
          <w:numId w:val="3"/>
        </w:numPr>
        <w:spacing w:after="80"/>
      </w:pPr>
      <w:r>
        <w:rPr>
          <w:rFonts w:ascii="Arial" w:cs="Arial" w:eastAsia="Arial" w:hAnsi="Arial"/>
          <w:color w:val="333333"/>
          <w:sz w:val="24"/>
          <w:szCs w:val="24"/>
        </w:rPr>
        <w:t xml:space="preserve">NDIS Code of Conduct</w:t>
      </w:r>
    </w:p>
    <w:p>
      <w:pPr>
        <w:pStyle w:val="ListParagraph"/>
        <w:numPr>
          <w:ilvl w:val="0"/>
          <w:numId w:val="3"/>
        </w:numPr>
        <w:spacing w:after="80"/>
      </w:pPr>
      <w:r>
        <w:rPr>
          <w:rFonts w:ascii="Arial" w:cs="Arial" w:eastAsia="Arial" w:hAnsi="Arial"/>
          <w:color w:val="333333"/>
          <w:sz w:val="24"/>
          <w:szCs w:val="24"/>
        </w:rPr>
        <w:t xml:space="preserve">State/territory health records legislation (where applicable)</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15.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Privacy and Confidentiality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Privacy and Confidentiality Policy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2026-04-05T12:56:40.689Z</dcterms:created>
  <dcterms:modified xsi:type="dcterms:W3CDTF">2026-04-05T12:56:40.690Z</dcterms:modified>
</cp:coreProperties>
</file>

<file path=docProps/custom.xml><?xml version="1.0" encoding="utf-8"?>
<Properties xmlns="http://schemas.openxmlformats.org/officeDocument/2006/custom-properties" xmlns:vt="http://schemas.openxmlformats.org/officeDocument/2006/docPropsVTypes"/>
</file>