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Person-Centred Support Policy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POL-PCS-001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[Service Delivery Manager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1.1: Person-Centred Supports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organisation’s commitment to delivering person-centred supports that respect the rights, preferences, and goals of each NDIS participant. It ensures supports are tailored to the individual, promote choice and control, and are responsive to the participant’s changing needs.</w:t>
      </w:r>
    </w:p>
    <w:p>
      <w:pPr>
        <w:spacing w:after="120"/>
      </w:pPr>
    </w:p>
    <w:p>
      <w:pPr>
        <w:pStyle w:val="Heading1"/>
        <w:spacing w:after="180" w:before="360"/>
      </w:pPr>
      <w:r>
        <w:rPr>
          <w:rFonts w:ascii="Arial" w:cs="Arial" w:eastAsia="Arial" w:hAnsi="Arial"/>
        </w:rPr>
        <w:t xml:space="preserve">2. Principles of Person-Centred Support</w:t>
      </w:r>
    </w:p>
    <w:p>
      <w:pPr>
        <w:spacing w:after="120" w:before="0"/>
        <w:jc w:val="left"/>
      </w:pPr>
      <w:r>
        <w:rPr>
          <w:rFonts w:ascii="Arial" w:cs="Arial" w:eastAsia="Arial" w:hAnsi="Arial"/>
          <w:b w:val="false"/>
          <w:bCs w:val="false"/>
          <w:i w:val="false"/>
          <w:iCs w:val="false"/>
          <w:color w:val="333333"/>
          <w:sz w:val="24"/>
          <w:szCs w:val="24"/>
        </w:rPr>
        <w:t xml:space="preserve">[YOUR ORGANISATION NAME] delivers supports based on the following principles:</w:t>
      </w:r>
    </w:p>
    <w:p>
      <w:pPr>
        <w:spacing w:after="120"/>
      </w:pPr>
    </w:p>
    <w:p>
      <w:pPr>
        <w:pStyle w:val="Heading2"/>
        <w:spacing w:after="180" w:before="360"/>
      </w:pPr>
      <w:r>
        <w:rPr>
          <w:rFonts w:ascii="Arial" w:cs="Arial" w:eastAsia="Arial" w:hAnsi="Arial"/>
        </w:rPr>
        <w:t xml:space="preserve">2.1 Choice and Control</w:t>
      </w:r>
    </w:p>
    <w:p>
      <w:pPr>
        <w:pStyle w:val="ListParagraph"/>
        <w:numPr>
          <w:ilvl w:val="0"/>
          <w:numId w:val="2"/>
        </w:numPr>
        <w:spacing w:after="80"/>
      </w:pPr>
      <w:r>
        <w:rPr>
          <w:rFonts w:ascii="Arial" w:cs="Arial" w:eastAsia="Arial" w:hAnsi="Arial"/>
          <w:color w:val="333333"/>
          <w:sz w:val="24"/>
          <w:szCs w:val="24"/>
        </w:rPr>
        <w:t xml:space="preserve">Participants choose what supports they receive, who delivers them, and how they are delivered</w:t>
      </w:r>
    </w:p>
    <w:p>
      <w:pPr>
        <w:pStyle w:val="ListParagraph"/>
        <w:numPr>
          <w:ilvl w:val="0"/>
          <w:numId w:val="2"/>
        </w:numPr>
        <w:spacing w:after="80"/>
      </w:pPr>
      <w:r>
        <w:rPr>
          <w:rFonts w:ascii="Arial" w:cs="Arial" w:eastAsia="Arial" w:hAnsi="Arial"/>
          <w:color w:val="333333"/>
          <w:sz w:val="24"/>
          <w:szCs w:val="24"/>
        </w:rPr>
        <w:t xml:space="preserve">Participants are supported to make informed decisions with access to information in formats they understand</w:t>
      </w:r>
    </w:p>
    <w:p>
      <w:pPr>
        <w:pStyle w:val="ListParagraph"/>
        <w:numPr>
          <w:ilvl w:val="0"/>
          <w:numId w:val="2"/>
        </w:numPr>
        <w:spacing w:after="80"/>
      </w:pPr>
      <w:r>
        <w:rPr>
          <w:rFonts w:ascii="Arial" w:cs="Arial" w:eastAsia="Arial" w:hAnsi="Arial"/>
          <w:color w:val="333333"/>
          <w:sz w:val="24"/>
          <w:szCs w:val="24"/>
        </w:rPr>
        <w:t xml:space="preserve">The participant’s right to the dignity of risk is respected — participants have the right to take reasonable risks in pursuit of their goals</w:t>
      </w:r>
    </w:p>
    <w:p>
      <w:pPr>
        <w:spacing w:after="120"/>
      </w:pPr>
    </w:p>
    <w:p>
      <w:pPr>
        <w:pStyle w:val="Heading2"/>
        <w:spacing w:after="180" w:before="360"/>
      </w:pPr>
      <w:r>
        <w:rPr>
          <w:rFonts w:ascii="Arial" w:cs="Arial" w:eastAsia="Arial" w:hAnsi="Arial"/>
        </w:rPr>
        <w:t xml:space="preserve">2.2 Individual Goals and Plans</w:t>
      </w:r>
    </w:p>
    <w:p>
      <w:pPr>
        <w:pStyle w:val="ListParagraph"/>
        <w:numPr>
          <w:ilvl w:val="0"/>
          <w:numId w:val="2"/>
        </w:numPr>
        <w:spacing w:after="80"/>
      </w:pPr>
      <w:r>
        <w:rPr>
          <w:rFonts w:ascii="Arial" w:cs="Arial" w:eastAsia="Arial" w:hAnsi="Arial"/>
          <w:color w:val="333333"/>
          <w:sz w:val="24"/>
          <w:szCs w:val="24"/>
        </w:rPr>
        <w:t xml:space="preserve">Supports are aligned to the participant’s NDIS plan goals</w:t>
      </w:r>
    </w:p>
    <w:p>
      <w:pPr>
        <w:pStyle w:val="ListParagraph"/>
        <w:numPr>
          <w:ilvl w:val="0"/>
          <w:numId w:val="2"/>
        </w:numPr>
        <w:spacing w:after="80"/>
      </w:pPr>
      <w:r>
        <w:rPr>
          <w:rFonts w:ascii="Arial" w:cs="Arial" w:eastAsia="Arial" w:hAnsi="Arial"/>
          <w:color w:val="333333"/>
          <w:sz w:val="24"/>
          <w:szCs w:val="24"/>
        </w:rPr>
        <w:t xml:space="preserve">Each participant has an individual support plan developed in collaboration with them (and with their consent, their support network)</w:t>
      </w:r>
    </w:p>
    <w:p>
      <w:pPr>
        <w:pStyle w:val="ListParagraph"/>
        <w:numPr>
          <w:ilvl w:val="0"/>
          <w:numId w:val="2"/>
        </w:numPr>
        <w:spacing w:after="80"/>
      </w:pPr>
      <w:r>
        <w:rPr>
          <w:rFonts w:ascii="Arial" w:cs="Arial" w:eastAsia="Arial" w:hAnsi="Arial"/>
          <w:color w:val="333333"/>
          <w:sz w:val="24"/>
          <w:szCs w:val="24"/>
        </w:rPr>
        <w:t xml:space="preserve">Support plans are reviewed regularly and updated to reflect changing needs and goals</w:t>
      </w:r>
    </w:p>
    <w:p>
      <w:pPr>
        <w:pStyle w:val="ListParagraph"/>
        <w:numPr>
          <w:ilvl w:val="0"/>
          <w:numId w:val="2"/>
        </w:numPr>
        <w:spacing w:after="80"/>
      </w:pPr>
      <w:r>
        <w:rPr>
          <w:rFonts w:ascii="Arial" w:cs="Arial" w:eastAsia="Arial" w:hAnsi="Arial"/>
          <w:color w:val="333333"/>
          <w:sz w:val="24"/>
          <w:szCs w:val="24"/>
        </w:rPr>
        <w:t xml:space="preserve">Progress toward goals is documented in progress notes and reported to the participant</w:t>
      </w:r>
    </w:p>
    <w:p>
      <w:pPr>
        <w:spacing w:after="120"/>
      </w:pPr>
    </w:p>
    <w:p>
      <w:pPr>
        <w:pStyle w:val="Heading2"/>
        <w:spacing w:after="180" w:before="360"/>
      </w:pPr>
      <w:r>
        <w:rPr>
          <w:rFonts w:ascii="Arial" w:cs="Arial" w:eastAsia="Arial" w:hAnsi="Arial"/>
        </w:rPr>
        <w:t xml:space="preserve">2.3 Respect for Identity</w:t>
      </w:r>
    </w:p>
    <w:p>
      <w:pPr>
        <w:pStyle w:val="ListParagraph"/>
        <w:numPr>
          <w:ilvl w:val="0"/>
          <w:numId w:val="2"/>
        </w:numPr>
        <w:spacing w:after="80"/>
      </w:pPr>
      <w:r>
        <w:rPr>
          <w:rFonts w:ascii="Arial" w:cs="Arial" w:eastAsia="Arial" w:hAnsi="Arial"/>
          <w:color w:val="333333"/>
          <w:sz w:val="24"/>
          <w:szCs w:val="24"/>
        </w:rPr>
        <w:t xml:space="preserve">Each participant’s culture, diversity, values, and beliefs are identified and respected</w:t>
      </w:r>
    </w:p>
    <w:p>
      <w:pPr>
        <w:pStyle w:val="ListParagraph"/>
        <w:numPr>
          <w:ilvl w:val="0"/>
          <w:numId w:val="2"/>
        </w:numPr>
        <w:spacing w:after="80"/>
      </w:pPr>
      <w:r>
        <w:rPr>
          <w:rFonts w:ascii="Arial" w:cs="Arial" w:eastAsia="Arial" w:hAnsi="Arial"/>
          <w:color w:val="333333"/>
          <w:sz w:val="24"/>
          <w:szCs w:val="24"/>
        </w:rPr>
        <w:t xml:space="preserve">Supports are delivered in a culturally safe manner</w:t>
      </w:r>
    </w:p>
    <w:p>
      <w:pPr>
        <w:pStyle w:val="ListParagraph"/>
        <w:numPr>
          <w:ilvl w:val="0"/>
          <w:numId w:val="2"/>
        </w:numPr>
        <w:spacing w:after="80"/>
      </w:pPr>
      <w:r>
        <w:rPr>
          <w:rFonts w:ascii="Arial" w:cs="Arial" w:eastAsia="Arial" w:hAnsi="Arial"/>
          <w:color w:val="333333"/>
          <w:sz w:val="24"/>
          <w:szCs w:val="24"/>
        </w:rPr>
        <w:t xml:space="preserve">Workers are trained in cultural awareness and responsive practice</w:t>
      </w:r>
    </w:p>
    <w:p>
      <w:pPr>
        <w:pStyle w:val="ListParagraph"/>
        <w:numPr>
          <w:ilvl w:val="0"/>
          <w:numId w:val="2"/>
        </w:numPr>
        <w:spacing w:after="80"/>
      </w:pPr>
      <w:r>
        <w:rPr>
          <w:rFonts w:ascii="Arial" w:cs="Arial" w:eastAsia="Arial" w:hAnsi="Arial"/>
          <w:color w:val="333333"/>
          <w:sz w:val="24"/>
          <w:szCs w:val="24"/>
        </w:rPr>
        <w:t xml:space="preserve">Participants are supported to maintain connections with their family, friends, community, and cultural networks</w:t>
      </w:r>
    </w:p>
    <w:p>
      <w:pPr>
        <w:spacing w:after="120"/>
      </w:pPr>
    </w:p>
    <w:p>
      <w:pPr>
        <w:pStyle w:val="Heading2"/>
        <w:spacing w:after="180" w:before="360"/>
      </w:pPr>
      <w:r>
        <w:rPr>
          <w:rFonts w:ascii="Arial" w:cs="Arial" w:eastAsia="Arial" w:hAnsi="Arial"/>
        </w:rPr>
        <w:t xml:space="preserve">2.4 Communication</w:t>
      </w:r>
    </w:p>
    <w:p>
      <w:pPr>
        <w:pStyle w:val="ListParagraph"/>
        <w:numPr>
          <w:ilvl w:val="0"/>
          <w:numId w:val="2"/>
        </w:numPr>
        <w:spacing w:after="80"/>
      </w:pPr>
      <w:r>
        <w:rPr>
          <w:rFonts w:ascii="Arial" w:cs="Arial" w:eastAsia="Arial" w:hAnsi="Arial"/>
          <w:color w:val="333333"/>
          <w:sz w:val="24"/>
          <w:szCs w:val="24"/>
        </w:rPr>
        <w:t xml:space="preserve">Communication with each participant is responsive to their needs and provided in the language, mode of communication, and terms they understand best</w:t>
      </w:r>
    </w:p>
    <w:p>
      <w:pPr>
        <w:pStyle w:val="ListParagraph"/>
        <w:numPr>
          <w:ilvl w:val="0"/>
          <w:numId w:val="2"/>
        </w:numPr>
        <w:spacing w:after="80"/>
      </w:pPr>
      <w:r>
        <w:rPr>
          <w:rFonts w:ascii="Arial" w:cs="Arial" w:eastAsia="Arial" w:hAnsi="Arial"/>
          <w:color w:val="333333"/>
          <w:sz w:val="24"/>
          <w:szCs w:val="24"/>
        </w:rPr>
        <w:t xml:space="preserve">Where a participant uses augmentative and alternative communication (AAC), workers are trained in its use</w:t>
      </w:r>
    </w:p>
    <w:p>
      <w:pPr>
        <w:pStyle w:val="ListParagraph"/>
        <w:numPr>
          <w:ilvl w:val="0"/>
          <w:numId w:val="2"/>
        </w:numPr>
        <w:spacing w:after="80"/>
      </w:pPr>
      <w:r>
        <w:rPr>
          <w:rFonts w:ascii="Arial" w:cs="Arial" w:eastAsia="Arial" w:hAnsi="Arial"/>
          <w:color w:val="333333"/>
          <w:sz w:val="24"/>
          <w:szCs w:val="24"/>
        </w:rPr>
        <w:t xml:space="preserve">Interpreters or translators are arranged when needed</w:t>
      </w:r>
    </w:p>
    <w:p>
      <w:pPr>
        <w:pStyle w:val="ListParagraph"/>
        <w:numPr>
          <w:ilvl w:val="0"/>
          <w:numId w:val="2"/>
        </w:numPr>
        <w:spacing w:after="80"/>
      </w:pPr>
      <w:r>
        <w:rPr>
          <w:rFonts w:ascii="Arial" w:cs="Arial" w:eastAsia="Arial" w:hAnsi="Arial"/>
          <w:color w:val="333333"/>
          <w:sz w:val="24"/>
          <w:szCs w:val="24"/>
        </w:rPr>
        <w:t xml:space="preserve">Information is provided in accessible formats (easy read, large print, translated, visual)</w:t>
      </w:r>
    </w:p>
    <w:p>
      <w:pPr>
        <w:spacing w:after="120"/>
      </w:pPr>
    </w:p>
    <w:p>
      <w:pPr>
        <w:pStyle w:val="Heading1"/>
        <w:spacing w:after="180" w:before="360"/>
      </w:pPr>
      <w:r>
        <w:rPr>
          <w:rFonts w:ascii="Arial" w:cs="Arial" w:eastAsia="Arial" w:hAnsi="Arial"/>
        </w:rPr>
        <w:t xml:space="preserve">3. Service Agreement</w:t>
      </w:r>
    </w:p>
    <w:p>
      <w:pPr>
        <w:spacing w:after="120" w:before="0"/>
        <w:jc w:val="left"/>
      </w:pPr>
      <w:r>
        <w:rPr>
          <w:rFonts w:ascii="Arial" w:cs="Arial" w:eastAsia="Arial" w:hAnsi="Arial"/>
          <w:b w:val="false"/>
          <w:bCs w:val="false"/>
          <w:i w:val="false"/>
          <w:iCs w:val="false"/>
          <w:color w:val="333333"/>
          <w:sz w:val="24"/>
          <w:szCs w:val="24"/>
        </w:rPr>
        <w:t xml:space="preserve">Before supports commence, the organisation will enter into a Service Agreement with each participant (or their representative) that clearly outlines:</w:t>
      </w:r>
    </w:p>
    <w:p>
      <w:pPr>
        <w:pStyle w:val="ListParagraph"/>
        <w:numPr>
          <w:ilvl w:val="0"/>
          <w:numId w:val="2"/>
        </w:numPr>
        <w:spacing w:after="80"/>
      </w:pPr>
      <w:r>
        <w:rPr>
          <w:rFonts w:ascii="Arial" w:cs="Arial" w:eastAsia="Arial" w:hAnsi="Arial"/>
          <w:color w:val="333333"/>
          <w:sz w:val="24"/>
          <w:szCs w:val="24"/>
        </w:rPr>
        <w:t xml:space="preserve">The supports to be provided and how they will be delivered</w:t>
      </w:r>
    </w:p>
    <w:p>
      <w:pPr>
        <w:pStyle w:val="ListParagraph"/>
        <w:numPr>
          <w:ilvl w:val="0"/>
          <w:numId w:val="2"/>
        </w:numPr>
        <w:spacing w:after="80"/>
      </w:pPr>
      <w:r>
        <w:rPr>
          <w:rFonts w:ascii="Arial" w:cs="Arial" w:eastAsia="Arial" w:hAnsi="Arial"/>
          <w:color w:val="333333"/>
          <w:sz w:val="24"/>
          <w:szCs w:val="24"/>
        </w:rPr>
        <w:t xml:space="preserve">The participant’s goals and how supports will work toward achieving them</w:t>
      </w:r>
    </w:p>
    <w:p>
      <w:pPr>
        <w:pStyle w:val="ListParagraph"/>
        <w:numPr>
          <w:ilvl w:val="0"/>
          <w:numId w:val="2"/>
        </w:numPr>
        <w:spacing w:after="80"/>
      </w:pPr>
      <w:r>
        <w:rPr>
          <w:rFonts w:ascii="Arial" w:cs="Arial" w:eastAsia="Arial" w:hAnsi="Arial"/>
          <w:color w:val="333333"/>
          <w:sz w:val="24"/>
          <w:szCs w:val="24"/>
        </w:rPr>
        <w:t xml:space="preserve">Fees and charges in accordance with the NDIS Pricing Arrangements</w:t>
      </w:r>
    </w:p>
    <w:p>
      <w:pPr>
        <w:pStyle w:val="ListParagraph"/>
        <w:numPr>
          <w:ilvl w:val="0"/>
          <w:numId w:val="2"/>
        </w:numPr>
        <w:spacing w:after="80"/>
      </w:pPr>
      <w:r>
        <w:rPr>
          <w:rFonts w:ascii="Arial" w:cs="Arial" w:eastAsia="Arial" w:hAnsi="Arial"/>
          <w:color w:val="333333"/>
          <w:sz w:val="24"/>
          <w:szCs w:val="24"/>
        </w:rPr>
        <w:t xml:space="preserve">Cancellation policy</w:t>
      </w:r>
    </w:p>
    <w:p>
      <w:pPr>
        <w:pStyle w:val="ListParagraph"/>
        <w:numPr>
          <w:ilvl w:val="0"/>
          <w:numId w:val="2"/>
        </w:numPr>
        <w:spacing w:after="80"/>
      </w:pPr>
      <w:r>
        <w:rPr>
          <w:rFonts w:ascii="Arial" w:cs="Arial" w:eastAsia="Arial" w:hAnsi="Arial"/>
          <w:color w:val="333333"/>
          <w:sz w:val="24"/>
          <w:szCs w:val="24"/>
        </w:rPr>
        <w:t xml:space="preserve">Rights and responsibilities of both parties</w:t>
      </w:r>
    </w:p>
    <w:p>
      <w:pPr>
        <w:pStyle w:val="ListParagraph"/>
        <w:numPr>
          <w:ilvl w:val="0"/>
          <w:numId w:val="2"/>
        </w:numPr>
        <w:spacing w:after="80"/>
      </w:pPr>
      <w:r>
        <w:rPr>
          <w:rFonts w:ascii="Arial" w:cs="Arial" w:eastAsia="Arial" w:hAnsi="Arial"/>
          <w:color w:val="333333"/>
          <w:sz w:val="24"/>
          <w:szCs w:val="24"/>
        </w:rPr>
        <w:t xml:space="preserve">How to provide feedback or make a complaint</w:t>
      </w:r>
    </w:p>
    <w:p>
      <w:pPr>
        <w:pStyle w:val="ListParagraph"/>
        <w:numPr>
          <w:ilvl w:val="0"/>
          <w:numId w:val="2"/>
        </w:numPr>
        <w:spacing w:after="80"/>
      </w:pPr>
      <w:r>
        <w:rPr>
          <w:rFonts w:ascii="Arial" w:cs="Arial" w:eastAsia="Arial" w:hAnsi="Arial"/>
          <w:color w:val="333333"/>
          <w:sz w:val="24"/>
          <w:szCs w:val="24"/>
        </w:rPr>
        <w:t xml:space="preserve">How to exit the service</w:t>
      </w:r>
    </w:p>
    <w:p>
      <w:pPr>
        <w:spacing w:after="120"/>
      </w:pPr>
    </w:p>
    <w:p>
      <w:pPr>
        <w:pStyle w:val="Heading1"/>
        <w:spacing w:after="180" w:before="360"/>
      </w:pPr>
      <w:r>
        <w:rPr>
          <w:rFonts w:ascii="Arial" w:cs="Arial" w:eastAsia="Arial" w:hAnsi="Arial"/>
        </w:rPr>
        <w:t xml:space="preserve">4. Participant Rights</w:t>
      </w:r>
    </w:p>
    <w:p>
      <w:pPr>
        <w:spacing w:after="120" w:before="0"/>
        <w:jc w:val="left"/>
      </w:pPr>
      <w:r>
        <w:rPr>
          <w:rFonts w:ascii="Arial" w:cs="Arial" w:eastAsia="Arial" w:hAnsi="Arial"/>
          <w:b w:val="false"/>
          <w:bCs w:val="false"/>
          <w:i w:val="false"/>
          <w:iCs w:val="false"/>
          <w:color w:val="333333"/>
          <w:sz w:val="24"/>
          <w:szCs w:val="24"/>
        </w:rPr>
        <w:t xml:space="preserve">Every participant has the right to:</w:t>
      </w:r>
    </w:p>
    <w:p>
      <w:pPr>
        <w:pStyle w:val="ListParagraph"/>
        <w:numPr>
          <w:ilvl w:val="0"/>
          <w:numId w:val="2"/>
        </w:numPr>
        <w:spacing w:after="80"/>
      </w:pPr>
      <w:r>
        <w:rPr>
          <w:rFonts w:ascii="Arial" w:cs="Arial" w:eastAsia="Arial" w:hAnsi="Arial"/>
          <w:color w:val="333333"/>
          <w:sz w:val="24"/>
          <w:szCs w:val="24"/>
        </w:rPr>
        <w:t xml:space="preserve">Be treated with dignity and respect</w:t>
      </w:r>
    </w:p>
    <w:p>
      <w:pPr>
        <w:pStyle w:val="ListParagraph"/>
        <w:numPr>
          <w:ilvl w:val="0"/>
          <w:numId w:val="2"/>
        </w:numPr>
        <w:spacing w:after="80"/>
      </w:pPr>
      <w:r>
        <w:rPr>
          <w:rFonts w:ascii="Arial" w:cs="Arial" w:eastAsia="Arial" w:hAnsi="Arial"/>
          <w:color w:val="333333"/>
          <w:sz w:val="24"/>
          <w:szCs w:val="24"/>
        </w:rPr>
        <w:t xml:space="preserve">Make decisions about their supports and their life</w:t>
      </w:r>
    </w:p>
    <w:p>
      <w:pPr>
        <w:pStyle w:val="ListParagraph"/>
        <w:numPr>
          <w:ilvl w:val="0"/>
          <w:numId w:val="2"/>
        </w:numPr>
        <w:spacing w:after="80"/>
      </w:pPr>
      <w:r>
        <w:rPr>
          <w:rFonts w:ascii="Arial" w:cs="Arial" w:eastAsia="Arial" w:hAnsi="Arial"/>
          <w:color w:val="333333"/>
          <w:sz w:val="24"/>
          <w:szCs w:val="24"/>
        </w:rPr>
        <w:t xml:space="preserve">Privacy and confidentiality</w:t>
      </w:r>
    </w:p>
    <w:p>
      <w:pPr>
        <w:pStyle w:val="ListParagraph"/>
        <w:numPr>
          <w:ilvl w:val="0"/>
          <w:numId w:val="2"/>
        </w:numPr>
        <w:spacing w:after="80"/>
      </w:pPr>
      <w:r>
        <w:rPr>
          <w:rFonts w:ascii="Arial" w:cs="Arial" w:eastAsia="Arial" w:hAnsi="Arial"/>
          <w:color w:val="333333"/>
          <w:sz w:val="24"/>
          <w:szCs w:val="24"/>
        </w:rPr>
        <w:t xml:space="preserve">Access an advocate or support person</w:t>
      </w:r>
    </w:p>
    <w:p>
      <w:pPr>
        <w:pStyle w:val="ListParagraph"/>
        <w:numPr>
          <w:ilvl w:val="0"/>
          <w:numId w:val="2"/>
        </w:numPr>
        <w:spacing w:after="80"/>
      </w:pPr>
      <w:r>
        <w:rPr>
          <w:rFonts w:ascii="Arial" w:cs="Arial" w:eastAsia="Arial" w:hAnsi="Arial"/>
          <w:color w:val="333333"/>
          <w:sz w:val="24"/>
          <w:szCs w:val="24"/>
        </w:rPr>
        <w:t xml:space="preserve">Make a complaint without fear of reprisal</w:t>
      </w:r>
    </w:p>
    <w:p>
      <w:pPr>
        <w:pStyle w:val="ListParagraph"/>
        <w:numPr>
          <w:ilvl w:val="0"/>
          <w:numId w:val="2"/>
        </w:numPr>
        <w:spacing w:after="80"/>
      </w:pPr>
      <w:r>
        <w:rPr>
          <w:rFonts w:ascii="Arial" w:cs="Arial" w:eastAsia="Arial" w:hAnsi="Arial"/>
          <w:color w:val="333333"/>
          <w:sz w:val="24"/>
          <w:szCs w:val="24"/>
        </w:rPr>
        <w:t xml:space="preserve">Be free from violence, abuse, neglect, exploitation, and discrimination</w:t>
      </w:r>
    </w:p>
    <w:p>
      <w:pPr>
        <w:pStyle w:val="ListParagraph"/>
        <w:numPr>
          <w:ilvl w:val="0"/>
          <w:numId w:val="2"/>
        </w:numPr>
        <w:spacing w:after="80"/>
      </w:pPr>
      <w:r>
        <w:rPr>
          <w:rFonts w:ascii="Arial" w:cs="Arial" w:eastAsia="Arial" w:hAnsi="Arial"/>
          <w:color w:val="333333"/>
          <w:sz w:val="24"/>
          <w:szCs w:val="24"/>
        </w:rPr>
        <w:t xml:space="preserve">Access information about their rights and how to exercise them</w:t>
      </w:r>
    </w:p>
    <w:p>
      <w:pPr>
        <w:pStyle w:val="ListParagraph"/>
        <w:numPr>
          <w:ilvl w:val="0"/>
          <w:numId w:val="2"/>
        </w:numPr>
        <w:spacing w:after="80"/>
      </w:pPr>
      <w:r>
        <w:rPr>
          <w:rFonts w:ascii="Arial" w:cs="Arial" w:eastAsia="Arial" w:hAnsi="Arial"/>
          <w:color w:val="333333"/>
          <w:sz w:val="24"/>
          <w:szCs w:val="24"/>
        </w:rPr>
        <w:t xml:space="preserve">Refuse or withdraw from supports at any time</w:t>
      </w:r>
    </w:p>
    <w:p>
      <w:pPr>
        <w:spacing w:after="120"/>
      </w:pPr>
    </w:p>
    <w:p>
      <w:pPr>
        <w:pStyle w:val="Heading1"/>
        <w:spacing w:after="180" w:before="360"/>
      </w:pPr>
      <w:r>
        <w:rPr>
          <w:rFonts w:ascii="Arial" w:cs="Arial" w:eastAsia="Arial" w:hAnsi="Arial"/>
        </w:rPr>
        <w:t xml:space="preserve">5. SIL-Specific Person-Centred Practices</w:t>
      </w:r>
    </w:p>
    <w:p>
      <w:pPr>
        <w:spacing w:after="120" w:before="0"/>
        <w:jc w:val="left"/>
      </w:pPr>
      <w:r>
        <w:rPr>
          <w:rFonts w:ascii="Arial" w:cs="Arial" w:eastAsia="Arial" w:hAnsi="Arial"/>
          <w:b w:val="false"/>
          <w:bCs w:val="false"/>
          <w:i w:val="false"/>
          <w:iCs w:val="false"/>
          <w:color w:val="333333"/>
          <w:sz w:val="24"/>
          <w:szCs w:val="24"/>
        </w:rPr>
        <w:t xml:space="preserve">In Supported Independent Living settings, person-centred support includes:</w:t>
      </w:r>
    </w:p>
    <w:p>
      <w:pPr>
        <w:pStyle w:val="ListParagraph"/>
        <w:numPr>
          <w:ilvl w:val="0"/>
          <w:numId w:val="2"/>
        </w:numPr>
        <w:spacing w:after="80"/>
      </w:pPr>
      <w:r>
        <w:rPr>
          <w:rFonts w:ascii="Arial" w:cs="Arial" w:eastAsia="Arial" w:hAnsi="Arial"/>
          <w:color w:val="333333"/>
          <w:sz w:val="24"/>
          <w:szCs w:val="24"/>
        </w:rPr>
        <w:t xml:space="preserve">Respecting the participant’s home as their home — workers are guests in the participant’s space</w:t>
      </w:r>
    </w:p>
    <w:p>
      <w:pPr>
        <w:pStyle w:val="ListParagraph"/>
        <w:numPr>
          <w:ilvl w:val="0"/>
          <w:numId w:val="2"/>
        </w:numPr>
        <w:spacing w:after="80"/>
      </w:pPr>
      <w:r>
        <w:rPr>
          <w:rFonts w:ascii="Arial" w:cs="Arial" w:eastAsia="Arial" w:hAnsi="Arial"/>
          <w:color w:val="333333"/>
          <w:sz w:val="24"/>
          <w:szCs w:val="24"/>
        </w:rPr>
        <w:t xml:space="preserve">Supporting participants to personalise their living space</w:t>
      </w:r>
    </w:p>
    <w:p>
      <w:pPr>
        <w:pStyle w:val="ListParagraph"/>
        <w:numPr>
          <w:ilvl w:val="0"/>
          <w:numId w:val="2"/>
        </w:numPr>
        <w:spacing w:after="80"/>
      </w:pPr>
      <w:r>
        <w:rPr>
          <w:rFonts w:ascii="Arial" w:cs="Arial" w:eastAsia="Arial" w:hAnsi="Arial"/>
          <w:color w:val="333333"/>
          <w:sz w:val="24"/>
          <w:szCs w:val="24"/>
        </w:rPr>
        <w:t xml:space="preserve">Involving participants in household decisions (meals, routines, activities, visitors)</w:t>
      </w:r>
    </w:p>
    <w:p>
      <w:pPr>
        <w:pStyle w:val="ListParagraph"/>
        <w:numPr>
          <w:ilvl w:val="0"/>
          <w:numId w:val="2"/>
        </w:numPr>
        <w:spacing w:after="80"/>
      </w:pPr>
      <w:r>
        <w:rPr>
          <w:rFonts w:ascii="Arial" w:cs="Arial" w:eastAsia="Arial" w:hAnsi="Arial"/>
          <w:color w:val="333333"/>
          <w:sz w:val="24"/>
          <w:szCs w:val="24"/>
        </w:rPr>
        <w:t xml:space="preserve">Supporting participants to develop independence in daily living tasks at their own pace</w:t>
      </w:r>
    </w:p>
    <w:p>
      <w:pPr>
        <w:pStyle w:val="ListParagraph"/>
        <w:numPr>
          <w:ilvl w:val="0"/>
          <w:numId w:val="2"/>
        </w:numPr>
        <w:spacing w:after="80"/>
      </w:pPr>
      <w:r>
        <w:rPr>
          <w:rFonts w:ascii="Arial" w:cs="Arial" w:eastAsia="Arial" w:hAnsi="Arial"/>
          <w:color w:val="333333"/>
          <w:sz w:val="24"/>
          <w:szCs w:val="24"/>
        </w:rPr>
        <w:t xml:space="preserve">Respecting privacy in shared living arrangements</w:t>
      </w:r>
    </w:p>
    <w:p>
      <w:pPr>
        <w:pStyle w:val="ListParagraph"/>
        <w:numPr>
          <w:ilvl w:val="0"/>
          <w:numId w:val="2"/>
        </w:numPr>
        <w:spacing w:after="80"/>
      </w:pPr>
      <w:r>
        <w:rPr>
          <w:rFonts w:ascii="Arial" w:cs="Arial" w:eastAsia="Arial" w:hAnsi="Arial"/>
          <w:color w:val="333333"/>
          <w:sz w:val="24"/>
          <w:szCs w:val="24"/>
        </w:rPr>
        <w:t xml:space="preserve">Conducting compatibility assessments before placing participants in shared accommodation</w:t>
      </w:r>
    </w:p>
    <w:p>
      <w:pPr>
        <w:pStyle w:val="ListParagraph"/>
        <w:numPr>
          <w:ilvl w:val="0"/>
          <w:numId w:val="2"/>
        </w:numPr>
        <w:spacing w:after="80"/>
      </w:pPr>
      <w:r>
        <w:rPr>
          <w:rFonts w:ascii="Arial" w:cs="Arial" w:eastAsia="Arial" w:hAnsi="Arial"/>
          <w:color w:val="333333"/>
          <w:sz w:val="24"/>
          <w:szCs w:val="24"/>
        </w:rPr>
        <w:t xml:space="preserve">Supporting participants to maintain social connections and community participation</w:t>
      </w:r>
    </w:p>
    <w:p>
      <w:pPr>
        <w:spacing w:after="120"/>
      </w:pPr>
    </w:p>
    <w:p>
      <w:pPr>
        <w:pStyle w:val="Heading1"/>
        <w:spacing w:after="180" w:before="360"/>
      </w:pPr>
      <w:r>
        <w:rPr>
          <w:rFonts w:ascii="Arial" w:cs="Arial" w:eastAsia="Arial" w:hAnsi="Arial"/>
        </w:rPr>
        <w:t xml:space="preserve">6. Related Documents</w:t>
      </w:r>
    </w:p>
    <w:p>
      <w:pPr>
        <w:pStyle w:val="ListParagraph"/>
        <w:numPr>
          <w:ilvl w:val="0"/>
          <w:numId w:val="2"/>
        </w:numPr>
        <w:spacing w:after="80"/>
      </w:pPr>
      <w:r>
        <w:rPr>
          <w:rFonts w:ascii="Arial" w:cs="Arial" w:eastAsia="Arial" w:hAnsi="Arial"/>
          <w:color w:val="333333"/>
          <w:sz w:val="24"/>
          <w:szCs w:val="24"/>
        </w:rPr>
        <w:t xml:space="preserve">Service Agreement Template (SIL)</w:t>
      </w:r>
    </w:p>
    <w:p>
      <w:pPr>
        <w:pStyle w:val="ListParagraph"/>
        <w:numPr>
          <w:ilvl w:val="0"/>
          <w:numId w:val="2"/>
        </w:numPr>
        <w:spacing w:after="80"/>
      </w:pPr>
      <w:r>
        <w:rPr>
          <w:rFonts w:ascii="Arial" w:cs="Arial" w:eastAsia="Arial" w:hAnsi="Arial"/>
          <w:color w:val="333333"/>
          <w:sz w:val="24"/>
          <w:szCs w:val="24"/>
        </w:rPr>
        <w:t xml:space="preserve">Participant Information Pack</w:t>
      </w:r>
    </w:p>
    <w:p>
      <w:pPr>
        <w:pStyle w:val="ListParagraph"/>
        <w:numPr>
          <w:ilvl w:val="0"/>
          <w:numId w:val="2"/>
        </w:numPr>
        <w:spacing w:after="80"/>
      </w:pPr>
      <w:r>
        <w:rPr>
          <w:rFonts w:ascii="Arial" w:cs="Arial" w:eastAsia="Arial" w:hAnsi="Arial"/>
          <w:color w:val="333333"/>
          <w:sz w:val="24"/>
          <w:szCs w:val="24"/>
        </w:rPr>
        <w:t xml:space="preserve">Participant Rights Statement</w:t>
      </w:r>
    </w:p>
    <w:p>
      <w:pPr>
        <w:pStyle w:val="ListParagraph"/>
        <w:numPr>
          <w:ilvl w:val="0"/>
          <w:numId w:val="2"/>
        </w:numPr>
        <w:spacing w:after="80"/>
      </w:pPr>
      <w:r>
        <w:rPr>
          <w:rFonts w:ascii="Arial" w:cs="Arial" w:eastAsia="Arial" w:hAnsi="Arial"/>
          <w:color w:val="333333"/>
          <w:sz w:val="24"/>
          <w:szCs w:val="24"/>
        </w:rPr>
        <w:t xml:space="preserve">Individual Support Plan Template</w:t>
      </w:r>
    </w:p>
    <w:p>
      <w:pPr>
        <w:pStyle w:val="ListParagraph"/>
        <w:numPr>
          <w:ilvl w:val="0"/>
          <w:numId w:val="2"/>
        </w:numPr>
        <w:spacing w:after="80"/>
      </w:pPr>
      <w:r>
        <w:rPr>
          <w:rFonts w:ascii="Arial" w:cs="Arial" w:eastAsia="Arial" w:hAnsi="Arial"/>
          <w:color w:val="333333"/>
          <w:sz w:val="24"/>
          <w:szCs w:val="24"/>
        </w:rPr>
        <w:t xml:space="preserve">Dignity of Risk Assessment Template</w:t>
      </w:r>
    </w:p>
    <w:p>
      <w:pPr>
        <w:pStyle w:val="ListParagraph"/>
        <w:numPr>
          <w:ilvl w:val="0"/>
          <w:numId w:val="2"/>
        </w:numPr>
        <w:spacing w:after="80"/>
      </w:pPr>
      <w:r>
        <w:rPr>
          <w:rFonts w:ascii="Arial" w:cs="Arial" w:eastAsia="Arial" w:hAnsi="Arial"/>
          <w:color w:val="333333"/>
          <w:sz w:val="24"/>
          <w:szCs w:val="24"/>
        </w:rPr>
        <w:t xml:space="preserve">Cultural Safety Policy</w:t>
      </w:r>
    </w:p>
    <w:p>
      <w:pPr>
        <w:pStyle w:val="ListParagraph"/>
        <w:numPr>
          <w:ilvl w:val="0"/>
          <w:numId w:val="2"/>
        </w:numPr>
        <w:spacing w:after="80"/>
      </w:pPr>
      <w:r>
        <w:rPr>
          <w:rFonts w:ascii="Arial" w:cs="Arial" w:eastAsia="Arial" w:hAnsi="Arial"/>
          <w:color w:val="333333"/>
          <w:sz w:val="24"/>
          <w:szCs w:val="24"/>
        </w:rPr>
        <w:t xml:space="preserve">Advocacy Information Sheet</w:t>
      </w:r>
    </w:p>
    <w:p>
      <w:pPr>
        <w:pStyle w:val="ListParagraph"/>
        <w:numPr>
          <w:ilvl w:val="0"/>
          <w:numId w:val="2"/>
        </w:numPr>
        <w:spacing w:after="80"/>
      </w:pPr>
      <w:r>
        <w:rPr>
          <w:rFonts w:ascii="Arial" w:cs="Arial" w:eastAsia="Arial" w:hAnsi="Arial"/>
          <w:color w:val="333333"/>
          <w:sz w:val="24"/>
          <w:szCs w:val="24"/>
        </w:rPr>
        <w:t xml:space="preserve">Consent Forms</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7.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Person-Centred Support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Person-Centred Support Policy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2026-04-05T12:56:41.117Z</dcterms:created>
  <dcterms:modified xsi:type="dcterms:W3CDTF">2026-04-05T12:56:41.117Z</dcterms:modified>
</cp:coreProperties>
</file>

<file path=docProps/custom.xml><?xml version="1.0" encoding="utf-8"?>
<Properties xmlns="http://schemas.openxmlformats.org/officeDocument/2006/custom-properties" xmlns:vt="http://schemas.openxmlformats.org/officeDocument/2006/docPropsVTypes"/>
</file>