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rFonts w:ascii="Arial" w:cs="Arial" w:eastAsia="Arial" w:hAnsi="Arial"/>
          <w:b/>
          <w:bCs/>
          <w:color w:val="1B2A4A"/>
          <w:sz w:val="32"/>
          <w:szCs w:val="32"/>
        </w:rPr>
        <w:t xml:space="preserve">[YOUR ORGANISATION NAME]</w:t>
      </w:r>
    </w:p>
    <w:p>
      <w:pPr>
        <w:spacing w:after="200"/>
        <w:jc w:val="center"/>
      </w:pPr>
      <w:r>
        <w:rPr>
          <w:rFonts w:ascii="Arial" w:cs="Arial" w:eastAsia="Arial" w:hAnsi="Arial"/>
          <w:color w:val="666666"/>
          <w:sz w:val="20"/>
          <w:szCs w:val="20"/>
        </w:rPr>
        <w:t xml:space="preserve">ABN: [YOUR ABN]  |  NDIS Provider Number: [YOUR PROVIDER NUMBER]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026"/>
      </w:tblGrid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Document Title: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Access to Supports Policy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Document Number: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POL-ACCESS-001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Version: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>26.04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Date Created: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[INSERT DATE]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Last Reviewed: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>April 2026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Next Review Due: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[INSERT DATE — within 12 months]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Approved By: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[INSERT NAME AND POSITION]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Owner: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[Intake Manager / Director]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NDIS Practice Standard: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Core Module — Outcome 3.1: Access to Supports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Applicable To: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All workers, contractors, and volunteers</w:t>
            </w:r>
          </w:p>
        </w:tc>
      </w:tr>
    </w:tbl>
    <w:p>
      <w:pPr>
        <w:spacing w:after="120"/>
      </w:pPr>
    </w:p>
    <w:p>
      <w:pPr>
        <w:pStyle w:val="Heading1"/>
        <w:spacing w:after="180" w:before="360"/>
      </w:pPr>
      <w:r>
        <w:rPr>
          <w:rFonts w:ascii="Arial" w:cs="Arial" w:eastAsia="Arial" w:hAnsi="Arial"/>
        </w:rPr>
        <w:t xml:space="preserve">1. Purpose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This policy ensures that NDIS participants can access the organisation’s supports and services in a timely, transparent, and equitable manner, and that the intake and assessment process respects the participant’s right to choice and control.</w:t>
      </w:r>
    </w:p>
    <w:p>
      <w:pPr>
        <w:spacing w:after="120"/>
      </w:pPr>
    </w:p>
    <w:p>
      <w:pPr>
        <w:pStyle w:val="Heading1"/>
        <w:spacing w:after="180" w:before="360"/>
      </w:pPr>
      <w:r>
        <w:rPr>
          <w:rFonts w:ascii="Arial" w:cs="Arial" w:eastAsia="Arial" w:hAnsi="Arial"/>
        </w:rPr>
        <w:t xml:space="preserve">2. Intake Process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Enquiry received (phone, email, referral from support coordinator, self-referral)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Initial eligibility assessment: confirm the participant has NDIS funding for the supports the organisation delivers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Provide the participant with information about the organisation’s services, fees, and how to access supports (Participant Information Pack)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Conduct an initial needs assessment to determine whether the organisation can meet the participant’s support needs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If the organisation can meet the participant’s needs: proceed to service agreement and support planning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If the organisation cannot meet the participant’s needs: assist the participant to find an alternative provider (provide referral information)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Complete and sign the Service Agreement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Develop the individual support plan in collaboration with the participant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Commence supports</w:t>
      </w:r>
    </w:p>
    <w:p>
      <w:pPr>
        <w:spacing w:after="120"/>
      </w:pPr>
    </w:p>
    <w:p>
      <w:pPr>
        <w:pStyle w:val="Heading1"/>
        <w:spacing w:after="180" w:before="360"/>
      </w:pPr>
      <w:r>
        <w:rPr>
          <w:rFonts w:ascii="Arial" w:cs="Arial" w:eastAsia="Arial" w:hAnsi="Arial"/>
        </w:rPr>
        <w:t xml:space="preserve">3. Waitlist Management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If the organisation cannot commence supports immediately: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The participant is placed on a waitlist and informed of the estimated wait time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The waitlist is managed on a first-come, first-served basis unless there are urgent safety or wellbeing considerations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The participant is contacted regularly (at least monthly) to update them on their position and any changes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The participant is informed of their right to seek supports from other providers while waiting</w:t>
      </w:r>
    </w:p>
    <w:p>
      <w:pPr>
        <w:spacing w:after="120"/>
      </w:pPr>
    </w:p>
    <w:p>
      <w:pPr>
        <w:pStyle w:val="Heading1"/>
        <w:spacing w:after="180" w:before="360"/>
      </w:pPr>
      <w:r>
        <w:rPr>
          <w:rFonts w:ascii="Arial" w:cs="Arial" w:eastAsia="Arial" w:hAnsi="Arial"/>
        </w:rPr>
        <w:t xml:space="preserve">4. Declining to Provide Supports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The organisation may decline to provide supports only where: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The organisation does not have the capacity, expertise, or registration to meet the participant’s needs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Providing supports would pose an unacceptable safety risk to the participant, workers, or others that cannot be reasonably mitigated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The participant does not have adequate NDIS funding for the supports requested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Where supports are declined, the organisation will provide a written explanation and assist the participant to find an alternative provider.</w:t>
      </w:r>
    </w:p>
    <w:p>
      <w:pPr>
        <w:spacing w:after="120"/>
      </w:pPr>
    </w:p>
    <w:p>
      <w:pPr>
        <w:pStyle w:val="Heading1"/>
        <w:spacing w:after="180" w:before="360"/>
      </w:pPr>
      <w:r>
        <w:rPr>
          <w:rFonts w:ascii="Arial" w:cs="Arial" w:eastAsia="Arial" w:hAnsi="Arial"/>
        </w:rPr>
        <w:t xml:space="preserve">5. Non-Discrimination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The organisation will not refuse access to supports on the basis of a participant’s disability type, complexity of needs, cultural background, religion, gender, sexuality, or any other protected attribute.</w:t>
      </w:r>
    </w:p>
    <w:p>
      <w:pPr>
        <w:spacing w:after="120"/>
      </w:pPr>
    </w:p>
    <w:p>
      <w:pPr>
        <w:pStyle w:val="Heading1"/>
        <w:spacing w:after="180" w:before="360"/>
      </w:pPr>
      <w:r>
        <w:rPr>
          <w:rFonts w:ascii="Arial" w:cs="Arial" w:eastAsia="Arial" w:hAnsi="Arial"/>
        </w:rPr>
        <w:t xml:space="preserve">6. Related Documents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Participant Information Pack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Service Agreement Template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Intake Assessment Form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Waitlist Management Procedure</w:t>
      </w:r>
    </w:p>
    <w:p>
      <w:pPr>
        <w:spacing w:after="120"/>
      </w:pPr>
    </w:p>
    <w:p>
      <w:pPr>
        <w:pStyle w:val="Heading2"/>
        <w:spacing w:after="180" w:before="360"/>
      </w:pPr>
      <w:r>
        <w:rPr>
          <w:rFonts w:ascii="Arial" w:cs="Arial" w:eastAsia="Arial" w:hAnsi="Arial"/>
        </w:rPr>
        <w:t xml:space="preserve">Version History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0"/>
        <w:gridCol w:w="2000"/>
        <w:gridCol w:w="2000"/>
        <w:gridCol w:w="4026"/>
      </w:tblGrid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Version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Date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Author</w:t>
            </w:r>
          </w:p>
        </w:tc>
        <w:tc>
          <w:tcPr>
            <w:tcW w:type="dxa" w:w="4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Changes</w:t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1.0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[INSERT DATE]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[INSERT NAME]</w:t>
            </w:r>
          </w:p>
        </w:tc>
        <w:tc>
          <w:tcPr>
            <w:tcW w:type="dxa" w:w="4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Initial document creation</w:t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4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4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</w:tbl>
    <w:p>
      <w:pPr>
        <w:spacing w:after="120"/>
      </w:pPr>
    </w:p>
    <w:p>
      <w:pPr>
        <w:pStyle w:val="Heading1"/>
        <w:spacing w:after="180" w:before="360"/>
      </w:pPr>
      <w:r>
        <w:rPr>
          <w:rFonts w:ascii="Arial" w:cs="Arial" w:eastAsia="Arial" w:hAnsi="Arial"/>
        </w:rPr>
        <w:t xml:space="preserve">7. Acknowledgement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I confirm that I have read, understood, and agree to comply with this Access to Supports Policy.</w:t>
      </w:r>
    </w:p>
    <w:p>
      <w:pPr>
        <w:spacing w:after="120"/>
      </w:pP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500"/>
        <w:gridCol w:w="6526"/>
      </w:tblGrid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Field</w:t>
            </w:r>
          </w:p>
        </w:tc>
        <w:tc>
          <w:tcPr>
            <w:tcW w:type="dxa" w:w="6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Details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Name:</w:t>
            </w:r>
          </w:p>
        </w:tc>
        <w:tc>
          <w:tcPr>
            <w:tcW w:type="dxa" w:w="6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Position:</w:t>
            </w:r>
          </w:p>
        </w:tc>
        <w:tc>
          <w:tcPr>
            <w:tcW w:type="dxa" w:w="6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Signature:</w:t>
            </w:r>
          </w:p>
        </w:tc>
        <w:tc>
          <w:tcPr>
            <w:tcW w:type="dxa" w:w="6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Date:</w:t>
            </w:r>
          </w:p>
        </w:tc>
        <w:tc>
          <w:tcPr>
            <w:tcW w:type="dxa" w:w="6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</w:tbl>
    <w:p>
      <w:pPr>
        <w:spacing w:after="120"/>
      </w:pPr>
    </w:p>
    <w:p>
      <w:pPr>
        <w:pBdr>
          <w:bottom w:val="single" w:color="0D9488" w:sz="3" w:space="1"/>
        </w:pBdr>
        <w:spacing w:after="200" w:before="200"/>
      </w:pP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/>
          <w:iCs/>
          <w:color w:val="666666"/>
          <w:sz w:val="18"/>
          <w:szCs w:val="18"/>
        </w:rPr>
        <w:t xml:space="preserve">CONFIDENTIAL — This document is the property of [YOUR ORGANISATION NAME]. Unauthorised reproduction or distribution is prohibited.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666666"/>
          <w:sz w:val="16"/>
          <w:szCs w:val="16"/>
        </w:rPr>
        <w:t xml:space="preserve">Document: Access to Supports Policy | Generated by NDISCompliant (ndiscompliant.com.au)</w:t>
      </w:r>
    </w:p>
    <w:sectPr>
      <w:headerReference w:type="default" r:id="rId7"/>
      <w:footerReference w:type="default" r:id="rId8"/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color w:val="AAAAAA"/>
        <w:sz w:val="16"/>
        <w:szCs w:val="16"/>
      </w:rPr>
      <w:t xml:space="preserve">Page </w:t>
    </w:r>
    <w:r>
      <w:rPr>
        <w:rFonts w:ascii="Arial" w:cs="Arial" w:eastAsia="Arial" w:hAnsi="Arial"/>
        <w:color w:val="AAAAAA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color w:val="AAAAAA"/>
        <w:sz w:val="16"/>
        <w:szCs w:val="16"/>
      </w:rPr>
      <w:t xml:space="preserve"> | CONFIDENTIAL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rFonts w:ascii="Arial" w:cs="Arial" w:eastAsia="Arial" w:hAnsi="Arial"/>
        <w:i/>
        <w:iCs/>
        <w:color w:val="AAAAAA"/>
        <w:sz w:val="16"/>
        <w:szCs w:val="16"/>
      </w:rPr>
      <w:t xml:space="preserve">[YOUR ORGANISATION NAME] — NDIS Policy Document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bullet"/>
      <w:lvlText w:val="–"/>
      <w:lvlJc w:val="left"/>
      <w:pPr>
        <w:ind w:left="1080" w:hanging="360"/>
      </w:pPr>
    </w:lvl>
  </w:abstractNum>
  <w:abstractNum w:abstractNumId="5" w15:restartNumberingAfterBreak="0">
    <w:multiLevelType w:val="hybridMultilevel"/>
    <w:lvl w:ilvl="0" w15:tentative="1">
      <w:start w:val="1"/>
      <w:numFmt w:val="lowerLetter"/>
      <w:lvlText w:val="%1)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3"/>
    <w:lvlOverride w:ilvl="0">
      <w:startOverride w:val="1"/>
    </w:lvlOverride>
  </w:num>
  <w:num w:numId="3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40" w:before="360"/>
      <w:outlineLvl w:val="0"/>
    </w:pPr>
    <w:rPr>
      <w:rFonts w:ascii="Arial" w:cs="Arial" w:eastAsia="Arial" w:hAnsi="Arial"/>
      <w:b/>
      <w:bCs/>
      <w:color w:val="1B2A4A"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80" w:before="280"/>
      <w:outlineLvl w:val="1"/>
    </w:pPr>
    <w:rPr>
      <w:rFonts w:ascii="Arial" w:cs="Arial" w:eastAsia="Arial" w:hAnsi="Arial"/>
      <w:b/>
      <w:bCs/>
      <w:color w:val="0D9488"/>
      <w:sz w:val="28"/>
      <w:szCs w:val="28"/>
    </w:rPr>
  </w:style>
  <w:style w:type="paragraph" w:styleId="Heading3">
    <w:name w:val="Heading 3"/>
    <w:basedOn w:val="Normal"/>
    <w:next w:val="Normal"/>
    <w:qFormat/>
    <w:pPr>
      <w:spacing w:after="120" w:before="200"/>
      <w:outlineLvl w:val="2"/>
    </w:pPr>
    <w:rPr>
      <w:rFonts w:ascii="Arial" w:cs="Arial" w:eastAsia="Arial" w:hAnsi="Arial"/>
      <w:b/>
      <w:bCs/>
      <w:color w:val="1B2A4A"/>
      <w:sz w:val="26"/>
      <w:szCs w:val="26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2026-04-05T13:00:32.802Z</dcterms:created>
  <dcterms:modified xsi:type="dcterms:W3CDTF">2026-04-05T13:00:32.802Z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