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Medication Management Policy</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POL-MED-001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[Clinical Lead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4.3: Management of Medication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framework for the safe and appropriate management of medication for NDIS participants, including storage, administration, recording, and error management. It is particularly relevant to SIL environments where workers may administer or assist with medication.</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w:t>
      </w:r>
    </w:p>
    <w:p>
      <w:pPr>
        <w:pStyle w:val="ListParagraph"/>
        <w:numPr>
          <w:ilvl w:val="0"/>
          <w:numId w:val="2"/>
        </w:numPr>
        <w:spacing w:after="80"/>
      </w:pPr>
      <w:r>
        <w:rPr>
          <w:rFonts w:ascii="Arial" w:cs="Arial" w:eastAsia="Arial" w:hAnsi="Arial"/>
          <w:color w:val="333333"/>
          <w:sz w:val="24"/>
          <w:szCs w:val="24"/>
        </w:rPr>
        <w:t xml:space="preserve">Medication administered by workers to participants</w:t>
      </w:r>
    </w:p>
    <w:p>
      <w:pPr>
        <w:pStyle w:val="ListParagraph"/>
        <w:numPr>
          <w:ilvl w:val="0"/>
          <w:numId w:val="2"/>
        </w:numPr>
        <w:spacing w:after="80"/>
      </w:pPr>
      <w:r>
        <w:rPr>
          <w:rFonts w:ascii="Arial" w:cs="Arial" w:eastAsia="Arial" w:hAnsi="Arial"/>
          <w:color w:val="333333"/>
          <w:sz w:val="24"/>
          <w:szCs w:val="24"/>
        </w:rPr>
        <w:t xml:space="preserve">Medication self-administered by participants with worker support or prompting</w:t>
      </w:r>
    </w:p>
    <w:p>
      <w:pPr>
        <w:pStyle w:val="ListParagraph"/>
        <w:numPr>
          <w:ilvl w:val="0"/>
          <w:numId w:val="2"/>
        </w:numPr>
        <w:spacing w:after="80"/>
      </w:pPr>
      <w:r>
        <w:rPr>
          <w:rFonts w:ascii="Arial" w:cs="Arial" w:eastAsia="Arial" w:hAnsi="Arial"/>
          <w:color w:val="333333"/>
          <w:sz w:val="24"/>
          <w:szCs w:val="24"/>
        </w:rPr>
        <w:t xml:space="preserve">PRN (as needed) medication</w:t>
      </w:r>
    </w:p>
    <w:p>
      <w:pPr>
        <w:pStyle w:val="ListParagraph"/>
        <w:numPr>
          <w:ilvl w:val="0"/>
          <w:numId w:val="2"/>
        </w:numPr>
        <w:spacing w:after="80"/>
      </w:pPr>
      <w:r>
        <w:rPr>
          <w:rFonts w:ascii="Arial" w:cs="Arial" w:eastAsia="Arial" w:hAnsi="Arial"/>
          <w:color w:val="333333"/>
          <w:sz w:val="24"/>
          <w:szCs w:val="24"/>
        </w:rPr>
        <w:t xml:space="preserve">Controlled substances</w:t>
      </w:r>
    </w:p>
    <w:p>
      <w:pPr>
        <w:pStyle w:val="ListParagraph"/>
        <w:numPr>
          <w:ilvl w:val="0"/>
          <w:numId w:val="2"/>
        </w:numPr>
        <w:spacing w:after="80"/>
      </w:pPr>
      <w:r>
        <w:rPr>
          <w:rFonts w:ascii="Arial" w:cs="Arial" w:eastAsia="Arial" w:hAnsi="Arial"/>
          <w:color w:val="333333"/>
          <w:sz w:val="24"/>
          <w:szCs w:val="24"/>
        </w:rPr>
        <w:t xml:space="preserve">Over-the-counter medication</w:t>
      </w:r>
    </w:p>
    <w:p>
      <w:pPr>
        <w:spacing w:after="120"/>
      </w:pPr>
    </w:p>
    <w:p>
      <w:pPr>
        <w:pStyle w:val="Heading1"/>
        <w:spacing w:after="180" w:before="360"/>
      </w:pPr>
      <w:r>
        <w:rPr>
          <w:rFonts w:ascii="Arial" w:cs="Arial" w:eastAsia="Arial" w:hAnsi="Arial"/>
        </w:rPr>
        <w:t xml:space="preserve">3. Medication Storage</w:t>
      </w:r>
    </w:p>
    <w:p>
      <w:pPr>
        <w:pStyle w:val="ListParagraph"/>
        <w:numPr>
          <w:ilvl w:val="0"/>
          <w:numId w:val="2"/>
        </w:numPr>
        <w:spacing w:after="80"/>
      </w:pPr>
      <w:r>
        <w:rPr>
          <w:rFonts w:ascii="Arial" w:cs="Arial" w:eastAsia="Arial" w:hAnsi="Arial"/>
          <w:color w:val="333333"/>
          <w:sz w:val="24"/>
          <w:szCs w:val="24"/>
        </w:rPr>
        <w:t xml:space="preserve">All medication is stored in a locked cabinet or medication safe, accessible only to authorised workers</w:t>
      </w:r>
    </w:p>
    <w:p>
      <w:pPr>
        <w:pStyle w:val="ListParagraph"/>
        <w:numPr>
          <w:ilvl w:val="0"/>
          <w:numId w:val="2"/>
        </w:numPr>
        <w:spacing w:after="80"/>
      </w:pPr>
      <w:r>
        <w:rPr>
          <w:rFonts w:ascii="Arial" w:cs="Arial" w:eastAsia="Arial" w:hAnsi="Arial"/>
          <w:color w:val="333333"/>
          <w:sz w:val="24"/>
          <w:szCs w:val="24"/>
        </w:rPr>
        <w:t xml:space="preserve">Controlled substances are stored separately in a double-locked system and subject to additional security measures</w:t>
      </w:r>
    </w:p>
    <w:p>
      <w:pPr>
        <w:pStyle w:val="ListParagraph"/>
        <w:numPr>
          <w:ilvl w:val="0"/>
          <w:numId w:val="2"/>
        </w:numPr>
        <w:spacing w:after="80"/>
      </w:pPr>
      <w:r>
        <w:rPr>
          <w:rFonts w:ascii="Arial" w:cs="Arial" w:eastAsia="Arial" w:hAnsi="Arial"/>
          <w:color w:val="333333"/>
          <w:sz w:val="24"/>
          <w:szCs w:val="24"/>
        </w:rPr>
        <w:t xml:space="preserve">Medication requiring refrigeration is stored in a dedicated section of a lockable refrigerator with temperature monitoring</w:t>
      </w:r>
    </w:p>
    <w:p>
      <w:pPr>
        <w:pStyle w:val="ListParagraph"/>
        <w:numPr>
          <w:ilvl w:val="0"/>
          <w:numId w:val="2"/>
        </w:numPr>
        <w:spacing w:after="80"/>
      </w:pPr>
      <w:r>
        <w:rPr>
          <w:rFonts w:ascii="Arial" w:cs="Arial" w:eastAsia="Arial" w:hAnsi="Arial"/>
          <w:color w:val="333333"/>
          <w:sz w:val="24"/>
          <w:szCs w:val="24"/>
        </w:rPr>
        <w:t xml:space="preserve">Medication is stored in its original packaging with the pharmacy label clearly visible</w:t>
      </w:r>
    </w:p>
    <w:p>
      <w:pPr>
        <w:pStyle w:val="ListParagraph"/>
        <w:numPr>
          <w:ilvl w:val="0"/>
          <w:numId w:val="2"/>
        </w:numPr>
        <w:spacing w:after="80"/>
      </w:pPr>
      <w:r>
        <w:rPr>
          <w:rFonts w:ascii="Arial" w:cs="Arial" w:eastAsia="Arial" w:hAnsi="Arial"/>
          <w:color w:val="333333"/>
          <w:sz w:val="24"/>
          <w:szCs w:val="24"/>
        </w:rPr>
        <w:t xml:space="preserve">Expired medication is removed promptly, disposed of safely, and documented</w:t>
      </w:r>
    </w:p>
    <w:p>
      <w:pPr>
        <w:spacing w:after="120"/>
      </w:pPr>
    </w:p>
    <w:p>
      <w:pPr>
        <w:pStyle w:val="Heading1"/>
        <w:spacing w:after="180" w:before="360"/>
      </w:pPr>
      <w:r>
        <w:rPr>
          <w:rFonts w:ascii="Arial" w:cs="Arial" w:eastAsia="Arial" w:hAnsi="Arial"/>
        </w:rPr>
        <w:t xml:space="preserve">4. Medication Administration</w:t>
      </w:r>
    </w:p>
    <w:p>
      <w:pPr>
        <w:spacing w:after="120" w:before="0"/>
        <w:jc w:val="left"/>
      </w:pPr>
      <w:r>
        <w:rPr>
          <w:rFonts w:ascii="Arial" w:cs="Arial" w:eastAsia="Arial" w:hAnsi="Arial"/>
          <w:b w:val="false"/>
          <w:bCs w:val="false"/>
          <w:i w:val="false"/>
          <w:iCs w:val="false"/>
          <w:color w:val="333333"/>
          <w:sz w:val="24"/>
          <w:szCs w:val="24"/>
        </w:rPr>
        <w:t xml:space="preserve">The 7 Rights of Medication Administration must be followed for every medication administration:</w:t>
      </w:r>
    </w:p>
    <w:p>
      <w:pPr>
        <w:pStyle w:val="ListParagraph"/>
        <w:numPr>
          <w:ilvl w:val="0"/>
          <w:numId w:val="3"/>
        </w:numPr>
        <w:spacing w:after="80"/>
      </w:pPr>
      <w:r>
        <w:rPr>
          <w:rFonts w:ascii="Arial" w:cs="Arial" w:eastAsia="Arial" w:hAnsi="Arial"/>
          <w:color w:val="333333"/>
          <w:sz w:val="24"/>
          <w:szCs w:val="24"/>
        </w:rPr>
        <w:t xml:space="preserve">Right participant</w:t>
      </w:r>
    </w:p>
    <w:p>
      <w:pPr>
        <w:pStyle w:val="ListParagraph"/>
        <w:numPr>
          <w:ilvl w:val="0"/>
          <w:numId w:val="3"/>
        </w:numPr>
        <w:spacing w:after="80"/>
      </w:pPr>
      <w:r>
        <w:rPr>
          <w:rFonts w:ascii="Arial" w:cs="Arial" w:eastAsia="Arial" w:hAnsi="Arial"/>
          <w:color w:val="333333"/>
          <w:sz w:val="24"/>
          <w:szCs w:val="24"/>
        </w:rPr>
        <w:t xml:space="preserve">Right medication</w:t>
      </w:r>
    </w:p>
    <w:p>
      <w:pPr>
        <w:pStyle w:val="ListParagraph"/>
        <w:numPr>
          <w:ilvl w:val="0"/>
          <w:numId w:val="3"/>
        </w:numPr>
        <w:spacing w:after="80"/>
      </w:pPr>
      <w:r>
        <w:rPr>
          <w:rFonts w:ascii="Arial" w:cs="Arial" w:eastAsia="Arial" w:hAnsi="Arial"/>
          <w:color w:val="333333"/>
          <w:sz w:val="24"/>
          <w:szCs w:val="24"/>
        </w:rPr>
        <w:t xml:space="preserve">Right dose</w:t>
      </w:r>
    </w:p>
    <w:p>
      <w:pPr>
        <w:pStyle w:val="ListParagraph"/>
        <w:numPr>
          <w:ilvl w:val="0"/>
          <w:numId w:val="3"/>
        </w:numPr>
        <w:spacing w:after="80"/>
      </w:pPr>
      <w:r>
        <w:rPr>
          <w:rFonts w:ascii="Arial" w:cs="Arial" w:eastAsia="Arial" w:hAnsi="Arial"/>
          <w:color w:val="333333"/>
          <w:sz w:val="24"/>
          <w:szCs w:val="24"/>
        </w:rPr>
        <w:t xml:space="preserve">Right route (oral, topical, injection, etc.)</w:t>
      </w:r>
    </w:p>
    <w:p>
      <w:pPr>
        <w:pStyle w:val="ListParagraph"/>
        <w:numPr>
          <w:ilvl w:val="0"/>
          <w:numId w:val="3"/>
        </w:numPr>
        <w:spacing w:after="80"/>
      </w:pPr>
      <w:r>
        <w:rPr>
          <w:rFonts w:ascii="Arial" w:cs="Arial" w:eastAsia="Arial" w:hAnsi="Arial"/>
          <w:color w:val="333333"/>
          <w:sz w:val="24"/>
          <w:szCs w:val="24"/>
        </w:rPr>
        <w:t xml:space="preserve">Right time</w:t>
      </w:r>
    </w:p>
    <w:p>
      <w:pPr>
        <w:pStyle w:val="ListParagraph"/>
        <w:numPr>
          <w:ilvl w:val="0"/>
          <w:numId w:val="3"/>
        </w:numPr>
        <w:spacing w:after="80"/>
      </w:pPr>
      <w:r>
        <w:rPr>
          <w:rFonts w:ascii="Arial" w:cs="Arial" w:eastAsia="Arial" w:hAnsi="Arial"/>
          <w:color w:val="333333"/>
          <w:sz w:val="24"/>
          <w:szCs w:val="24"/>
        </w:rPr>
        <w:t xml:space="preserve">Right documentation</w:t>
      </w:r>
    </w:p>
    <w:p>
      <w:pPr>
        <w:pStyle w:val="ListParagraph"/>
        <w:numPr>
          <w:ilvl w:val="0"/>
          <w:numId w:val="3"/>
        </w:numPr>
        <w:spacing w:after="80"/>
      </w:pPr>
      <w:r>
        <w:rPr>
          <w:rFonts w:ascii="Arial" w:cs="Arial" w:eastAsia="Arial" w:hAnsi="Arial"/>
          <w:color w:val="333333"/>
          <w:sz w:val="24"/>
          <w:szCs w:val="24"/>
        </w:rPr>
        <w:t xml:space="preserve">Right to refuse (the participant’s right to decline medication is respected and documented)</w:t>
      </w:r>
    </w:p>
    <w:p>
      <w:pPr>
        <w:spacing w:after="120"/>
      </w:pPr>
    </w:p>
    <w:p>
      <w:pPr>
        <w:pStyle w:val="Heading1"/>
        <w:spacing w:after="180" w:before="360"/>
      </w:pPr>
      <w:r>
        <w:rPr>
          <w:rFonts w:ascii="Arial" w:cs="Arial" w:eastAsia="Arial" w:hAnsi="Arial"/>
        </w:rPr>
        <w:t xml:space="preserve">5. Medication Administration Record (MAR)</w:t>
      </w:r>
    </w:p>
    <w:p>
      <w:pPr>
        <w:spacing w:after="120" w:before="0"/>
        <w:jc w:val="left"/>
      </w:pPr>
      <w:r>
        <w:rPr>
          <w:rFonts w:ascii="Arial" w:cs="Arial" w:eastAsia="Arial" w:hAnsi="Arial"/>
          <w:b w:val="false"/>
          <w:bCs w:val="false"/>
          <w:i w:val="false"/>
          <w:iCs w:val="false"/>
          <w:color w:val="333333"/>
          <w:sz w:val="24"/>
          <w:szCs w:val="24"/>
        </w:rPr>
        <w:t xml:space="preserve">Every medication administration must be recorded immediately on the Medication Administration Record (FORM-MAR-001):</w:t>
      </w:r>
    </w:p>
    <w:p>
      <w:pPr>
        <w:pStyle w:val="ListParagraph"/>
        <w:numPr>
          <w:ilvl w:val="0"/>
          <w:numId w:val="2"/>
        </w:numPr>
        <w:spacing w:after="80"/>
      </w:pPr>
      <w:r>
        <w:rPr>
          <w:rFonts w:ascii="Arial" w:cs="Arial" w:eastAsia="Arial" w:hAnsi="Arial"/>
          <w:color w:val="333333"/>
          <w:sz w:val="24"/>
          <w:szCs w:val="24"/>
        </w:rPr>
        <w:t xml:space="preserve">Participant name and date of birth</w:t>
      </w:r>
    </w:p>
    <w:p>
      <w:pPr>
        <w:pStyle w:val="ListParagraph"/>
        <w:numPr>
          <w:ilvl w:val="0"/>
          <w:numId w:val="2"/>
        </w:numPr>
        <w:spacing w:after="80"/>
      </w:pPr>
      <w:r>
        <w:rPr>
          <w:rFonts w:ascii="Arial" w:cs="Arial" w:eastAsia="Arial" w:hAnsi="Arial"/>
          <w:color w:val="333333"/>
          <w:sz w:val="24"/>
          <w:szCs w:val="24"/>
        </w:rPr>
        <w:t xml:space="preserve">Medication name, dose, route, and time administered</w:t>
      </w:r>
    </w:p>
    <w:p>
      <w:pPr>
        <w:pStyle w:val="ListParagraph"/>
        <w:numPr>
          <w:ilvl w:val="0"/>
          <w:numId w:val="2"/>
        </w:numPr>
        <w:spacing w:after="80"/>
      </w:pPr>
      <w:r>
        <w:rPr>
          <w:rFonts w:ascii="Arial" w:cs="Arial" w:eastAsia="Arial" w:hAnsi="Arial"/>
          <w:color w:val="333333"/>
          <w:sz w:val="24"/>
          <w:szCs w:val="24"/>
        </w:rPr>
        <w:t xml:space="preserve">Name and signature of the administering worker</w:t>
      </w:r>
    </w:p>
    <w:p>
      <w:pPr>
        <w:pStyle w:val="ListParagraph"/>
        <w:numPr>
          <w:ilvl w:val="0"/>
          <w:numId w:val="2"/>
        </w:numPr>
        <w:spacing w:after="80"/>
      </w:pPr>
      <w:r>
        <w:rPr>
          <w:rFonts w:ascii="Arial" w:cs="Arial" w:eastAsia="Arial" w:hAnsi="Arial"/>
          <w:color w:val="333333"/>
          <w:sz w:val="24"/>
          <w:szCs w:val="24"/>
        </w:rPr>
        <w:t xml:space="preserve">Any participant refusal (documented with the reason given, if any, and supervisor notified)</w:t>
      </w:r>
    </w:p>
    <w:p>
      <w:pPr>
        <w:pStyle w:val="ListParagraph"/>
        <w:numPr>
          <w:ilvl w:val="0"/>
          <w:numId w:val="2"/>
        </w:numPr>
        <w:spacing w:after="80"/>
      </w:pPr>
      <w:r>
        <w:rPr>
          <w:rFonts w:ascii="Arial" w:cs="Arial" w:eastAsia="Arial" w:hAnsi="Arial"/>
          <w:color w:val="333333"/>
          <w:sz w:val="24"/>
          <w:szCs w:val="24"/>
        </w:rPr>
        <w:t xml:space="preserve">Any observed side effects or adverse reactions</w:t>
      </w:r>
    </w:p>
    <w:p>
      <w:pPr>
        <w:spacing w:after="120"/>
      </w:pPr>
    </w:p>
    <w:p>
      <w:pPr>
        <w:pStyle w:val="Heading1"/>
        <w:spacing w:after="180" w:before="360"/>
      </w:pPr>
      <w:r>
        <w:rPr>
          <w:rFonts w:ascii="Arial" w:cs="Arial" w:eastAsia="Arial" w:hAnsi="Arial"/>
        </w:rPr>
        <w:t xml:space="preserve">6. Medication Errors</w:t>
      </w:r>
    </w:p>
    <w:p>
      <w:pPr>
        <w:spacing w:after="120" w:before="0"/>
        <w:jc w:val="left"/>
      </w:pPr>
      <w:r>
        <w:rPr>
          <w:rFonts w:ascii="Arial" w:cs="Arial" w:eastAsia="Arial" w:hAnsi="Arial"/>
          <w:b w:val="false"/>
          <w:bCs w:val="false"/>
          <w:i w:val="false"/>
          <w:iCs w:val="false"/>
          <w:color w:val="333333"/>
          <w:sz w:val="24"/>
          <w:szCs w:val="24"/>
        </w:rPr>
        <w:t xml:space="preserve">A medication error includes: wrong medication, wrong dose, wrong time (outside ±1 hour), wrong route, wrong participant, missed dose, or medication given to a participant with a known allergy. In the event of a medication error:</w:t>
      </w:r>
    </w:p>
    <w:p>
      <w:pPr>
        <w:pStyle w:val="ListParagraph"/>
        <w:numPr>
          <w:ilvl w:val="0"/>
          <w:numId w:val="3"/>
        </w:numPr>
        <w:spacing w:after="80"/>
      </w:pPr>
      <w:r>
        <w:rPr>
          <w:rFonts w:ascii="Arial" w:cs="Arial" w:eastAsia="Arial" w:hAnsi="Arial"/>
          <w:color w:val="333333"/>
          <w:sz w:val="24"/>
          <w:szCs w:val="24"/>
        </w:rPr>
        <w:t xml:space="preserve">Ensure the participant is safe; seek medical attention if required (call 000 for emergencies)</w:t>
      </w:r>
    </w:p>
    <w:p>
      <w:pPr>
        <w:pStyle w:val="ListParagraph"/>
        <w:numPr>
          <w:ilvl w:val="0"/>
          <w:numId w:val="3"/>
        </w:numPr>
        <w:spacing w:after="80"/>
      </w:pPr>
      <w:r>
        <w:rPr>
          <w:rFonts w:ascii="Arial" w:cs="Arial" w:eastAsia="Arial" w:hAnsi="Arial"/>
          <w:color w:val="333333"/>
          <w:sz w:val="24"/>
          <w:szCs w:val="24"/>
        </w:rPr>
        <w:t xml:space="preserve">Notify the supervisor/manager immediately</w:t>
      </w:r>
    </w:p>
    <w:p>
      <w:pPr>
        <w:pStyle w:val="ListParagraph"/>
        <w:numPr>
          <w:ilvl w:val="0"/>
          <w:numId w:val="3"/>
        </w:numPr>
        <w:spacing w:after="80"/>
      </w:pPr>
      <w:r>
        <w:rPr>
          <w:rFonts w:ascii="Arial" w:cs="Arial" w:eastAsia="Arial" w:hAnsi="Arial"/>
          <w:color w:val="333333"/>
          <w:sz w:val="24"/>
          <w:szCs w:val="24"/>
        </w:rPr>
        <w:t xml:space="preserve">Complete an Incident Report Form (FORM-INC-001)</w:t>
      </w:r>
    </w:p>
    <w:p>
      <w:pPr>
        <w:pStyle w:val="ListParagraph"/>
        <w:numPr>
          <w:ilvl w:val="0"/>
          <w:numId w:val="3"/>
        </w:numPr>
        <w:spacing w:after="80"/>
      </w:pPr>
      <w:r>
        <w:rPr>
          <w:rFonts w:ascii="Arial" w:cs="Arial" w:eastAsia="Arial" w:hAnsi="Arial"/>
          <w:color w:val="333333"/>
          <w:sz w:val="24"/>
          <w:szCs w:val="24"/>
        </w:rPr>
        <w:t xml:space="preserve">Contact the participant’s GP or pharmacist for clinical advice</w:t>
      </w:r>
    </w:p>
    <w:p>
      <w:pPr>
        <w:pStyle w:val="ListParagraph"/>
        <w:numPr>
          <w:ilvl w:val="0"/>
          <w:numId w:val="3"/>
        </w:numPr>
        <w:spacing w:after="80"/>
      </w:pPr>
      <w:r>
        <w:rPr>
          <w:rFonts w:ascii="Arial" w:cs="Arial" w:eastAsia="Arial" w:hAnsi="Arial"/>
          <w:color w:val="333333"/>
          <w:sz w:val="24"/>
          <w:szCs w:val="24"/>
        </w:rPr>
        <w:t xml:space="preserve">Notify the participant’s family/guardian (with consent)</w:t>
      </w:r>
    </w:p>
    <w:p>
      <w:pPr>
        <w:pStyle w:val="ListParagraph"/>
        <w:numPr>
          <w:ilvl w:val="0"/>
          <w:numId w:val="3"/>
        </w:numPr>
        <w:spacing w:after="80"/>
      </w:pPr>
      <w:r>
        <w:rPr>
          <w:rFonts w:ascii="Arial" w:cs="Arial" w:eastAsia="Arial" w:hAnsi="Arial"/>
          <w:color w:val="333333"/>
          <w:sz w:val="24"/>
          <w:szCs w:val="24"/>
        </w:rPr>
        <w:t xml:space="preserve">If the error results in serious harm, report to the NDIS Commission as a reportable incident</w:t>
      </w:r>
    </w:p>
    <w:p>
      <w:pPr>
        <w:pStyle w:val="ListParagraph"/>
        <w:numPr>
          <w:ilvl w:val="0"/>
          <w:numId w:val="3"/>
        </w:numPr>
        <w:spacing w:after="80"/>
      </w:pPr>
      <w:r>
        <w:rPr>
          <w:rFonts w:ascii="Arial" w:cs="Arial" w:eastAsia="Arial" w:hAnsi="Arial"/>
          <w:color w:val="333333"/>
          <w:sz w:val="24"/>
          <w:szCs w:val="24"/>
        </w:rPr>
        <w:t xml:space="preserve">Investigate the error to identify root cause and implement corrective actions</w:t>
      </w:r>
    </w:p>
    <w:p>
      <w:pPr>
        <w:spacing w:after="120"/>
      </w:pPr>
    </w:p>
    <w:p>
      <w:pPr>
        <w:pStyle w:val="Heading1"/>
        <w:spacing w:after="180" w:before="360"/>
      </w:pPr>
      <w:r>
        <w:rPr>
          <w:rFonts w:ascii="Arial" w:cs="Arial" w:eastAsia="Arial" w:hAnsi="Arial"/>
        </w:rPr>
        <w:t xml:space="preserve">7. Worker Competency</w:t>
      </w:r>
    </w:p>
    <w:p>
      <w:pPr>
        <w:spacing w:after="120" w:before="0"/>
        <w:jc w:val="left"/>
      </w:pPr>
      <w:r>
        <w:rPr>
          <w:rFonts w:ascii="Arial" w:cs="Arial" w:eastAsia="Arial" w:hAnsi="Arial"/>
          <w:b w:val="false"/>
          <w:bCs w:val="false"/>
          <w:i w:val="false"/>
          <w:iCs w:val="false"/>
          <w:color w:val="333333"/>
          <w:sz w:val="24"/>
          <w:szCs w:val="24"/>
        </w:rPr>
        <w:t xml:space="preserve">Workers administering medication must:</w:t>
      </w:r>
    </w:p>
    <w:p>
      <w:pPr>
        <w:pStyle w:val="ListParagraph"/>
        <w:numPr>
          <w:ilvl w:val="0"/>
          <w:numId w:val="2"/>
        </w:numPr>
        <w:spacing w:after="80"/>
      </w:pPr>
      <w:r>
        <w:rPr>
          <w:rFonts w:ascii="Arial" w:cs="Arial" w:eastAsia="Arial" w:hAnsi="Arial"/>
          <w:color w:val="333333"/>
          <w:sz w:val="24"/>
          <w:szCs w:val="24"/>
        </w:rPr>
        <w:t xml:space="preserve">Complete medication management training before administering any medication</w:t>
      </w:r>
    </w:p>
    <w:p>
      <w:pPr>
        <w:pStyle w:val="ListParagraph"/>
        <w:numPr>
          <w:ilvl w:val="0"/>
          <w:numId w:val="2"/>
        </w:numPr>
        <w:spacing w:after="80"/>
      </w:pPr>
      <w:r>
        <w:rPr>
          <w:rFonts w:ascii="Arial" w:cs="Arial" w:eastAsia="Arial" w:hAnsi="Arial"/>
          <w:color w:val="333333"/>
          <w:sz w:val="24"/>
          <w:szCs w:val="24"/>
        </w:rPr>
        <w:t xml:space="preserve">Demonstrate competency in the 7 Rights of Medication Administration</w:t>
      </w:r>
    </w:p>
    <w:p>
      <w:pPr>
        <w:pStyle w:val="ListParagraph"/>
        <w:numPr>
          <w:ilvl w:val="0"/>
          <w:numId w:val="2"/>
        </w:numPr>
        <w:spacing w:after="80"/>
      </w:pPr>
      <w:r>
        <w:rPr>
          <w:rFonts w:ascii="Arial" w:cs="Arial" w:eastAsia="Arial" w:hAnsi="Arial"/>
          <w:color w:val="333333"/>
          <w:sz w:val="24"/>
          <w:szCs w:val="24"/>
        </w:rPr>
        <w:t xml:space="preserve">Be familiar with each participant’s medication profile, including known allergies and potential interactions</w:t>
      </w:r>
    </w:p>
    <w:p>
      <w:pPr>
        <w:pStyle w:val="ListParagraph"/>
        <w:numPr>
          <w:ilvl w:val="0"/>
          <w:numId w:val="2"/>
        </w:numPr>
        <w:spacing w:after="80"/>
      </w:pPr>
      <w:r>
        <w:rPr>
          <w:rFonts w:ascii="Arial" w:cs="Arial" w:eastAsia="Arial" w:hAnsi="Arial"/>
          <w:color w:val="333333"/>
          <w:sz w:val="24"/>
          <w:szCs w:val="24"/>
        </w:rPr>
        <w:t xml:space="preserve">Refresh medication training at least annually</w:t>
      </w:r>
    </w:p>
    <w:p>
      <w:pPr>
        <w:spacing w:after="120"/>
      </w:pPr>
    </w:p>
    <w:p>
      <w:pPr>
        <w:pStyle w:val="Heading1"/>
        <w:spacing w:after="180" w:before="360"/>
      </w:pPr>
      <w:r>
        <w:rPr>
          <w:rFonts w:ascii="Arial" w:cs="Arial" w:eastAsia="Arial" w:hAnsi="Arial"/>
        </w:rPr>
        <w:t xml:space="preserve">8. Related Documents</w:t>
      </w:r>
    </w:p>
    <w:p>
      <w:pPr>
        <w:pStyle w:val="ListParagraph"/>
        <w:numPr>
          <w:ilvl w:val="0"/>
          <w:numId w:val="2"/>
        </w:numPr>
        <w:spacing w:after="80"/>
      </w:pPr>
      <w:r>
        <w:rPr>
          <w:rFonts w:ascii="Arial" w:cs="Arial" w:eastAsia="Arial" w:hAnsi="Arial"/>
          <w:color w:val="333333"/>
          <w:sz w:val="24"/>
          <w:szCs w:val="24"/>
        </w:rPr>
        <w:t xml:space="preserve">Medication Administration Record (FORM-MAR-001)</w:t>
      </w:r>
    </w:p>
    <w:p>
      <w:pPr>
        <w:pStyle w:val="ListParagraph"/>
        <w:numPr>
          <w:ilvl w:val="0"/>
          <w:numId w:val="2"/>
        </w:numPr>
        <w:spacing w:after="80"/>
      </w:pPr>
      <w:r>
        <w:rPr>
          <w:rFonts w:ascii="Arial" w:cs="Arial" w:eastAsia="Arial" w:hAnsi="Arial"/>
          <w:color w:val="333333"/>
          <w:sz w:val="24"/>
          <w:szCs w:val="24"/>
        </w:rPr>
        <w:t xml:space="preserve">Incident Management Policy (POL-INC-001)</w:t>
      </w:r>
    </w:p>
    <w:p>
      <w:pPr>
        <w:pStyle w:val="ListParagraph"/>
        <w:numPr>
          <w:ilvl w:val="0"/>
          <w:numId w:val="2"/>
        </w:numPr>
        <w:spacing w:after="80"/>
      </w:pPr>
      <w:r>
        <w:rPr>
          <w:rFonts w:ascii="Arial" w:cs="Arial" w:eastAsia="Arial" w:hAnsi="Arial"/>
          <w:color w:val="333333"/>
          <w:sz w:val="24"/>
          <w:szCs w:val="24"/>
        </w:rPr>
        <w:t xml:space="preserve">Participant Support Plan Template</w:t>
      </w:r>
    </w:p>
    <w:p>
      <w:pPr>
        <w:pStyle w:val="ListParagraph"/>
        <w:numPr>
          <w:ilvl w:val="0"/>
          <w:numId w:val="2"/>
        </w:numPr>
        <w:spacing w:after="80"/>
      </w:pPr>
      <w:r>
        <w:rPr>
          <w:rFonts w:ascii="Arial" w:cs="Arial" w:eastAsia="Arial" w:hAnsi="Arial"/>
          <w:color w:val="333333"/>
          <w:sz w:val="24"/>
          <w:szCs w:val="24"/>
        </w:rPr>
        <w:t xml:space="preserve">Safe Environment Policy (POL-SAFE-ENV-001)</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9.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Medication Management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Medication Management Policy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2026-04-05T13:00:32.929Z</dcterms:created>
  <dcterms:modified xsi:type="dcterms:W3CDTF">2026-04-05T13:00:32.929Z</dcterms:modified>
</cp:coreProperties>
</file>

<file path=docProps/custom.xml><?xml version="1.0" encoding="utf-8"?>
<Properties xmlns="http://schemas.openxmlformats.org/officeDocument/2006/custom-properties" xmlns:vt="http://schemas.openxmlformats.org/officeDocument/2006/docPropsVTypes"/>
</file>